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EFFB59">
      <w:pPr>
        <w:jc w:val="center"/>
        <w:rPr>
          <w:rFonts w:hint="default" w:ascii="Times New Roman" w:hAnsi="Times New Roman" w:eastAsia="黑体" w:cs="Times New Roman"/>
          <w:sz w:val="36"/>
          <w:szCs w:val="36"/>
        </w:rPr>
      </w:pPr>
      <w:r>
        <w:rPr>
          <w:rFonts w:hint="default" w:ascii="Times New Roman" w:hAnsi="Times New Roman" w:eastAsia="黑体" w:cs="Times New Roman"/>
          <w:sz w:val="36"/>
          <w:szCs w:val="36"/>
        </w:rPr>
        <w:t>太仓市集中式生活饮用水水源水质状况报告</w:t>
      </w:r>
    </w:p>
    <w:p w14:paraId="0DFE2A26">
      <w:pPr>
        <w:jc w:val="center"/>
        <w:rPr>
          <w:rFonts w:hint="default" w:ascii="Times New Roman" w:hAnsi="Times New Roman" w:eastAsia="黑体" w:cs="Times New Roman"/>
          <w:sz w:val="36"/>
          <w:szCs w:val="36"/>
        </w:rPr>
      </w:pPr>
      <w:r>
        <w:rPr>
          <w:rFonts w:hint="default" w:ascii="Times New Roman" w:hAnsi="Times New Roman" w:eastAsia="黑体" w:cs="Times New Roman"/>
          <w:sz w:val="36"/>
          <w:szCs w:val="36"/>
        </w:rPr>
        <w:t>（20</w:t>
      </w:r>
      <w:r>
        <w:rPr>
          <w:rFonts w:hint="default" w:ascii="Times New Roman" w:hAnsi="Times New Roman" w:eastAsia="黑体" w:cs="Times New Roman"/>
          <w:sz w:val="36"/>
          <w:szCs w:val="36"/>
          <w:lang w:val="en-US" w:eastAsia="zh-CN"/>
        </w:rPr>
        <w:t>2</w:t>
      </w:r>
      <w:r>
        <w:rPr>
          <w:rFonts w:hint="eastAsia" w:ascii="Times New Roman" w:hAnsi="Times New Roman" w:eastAsia="黑体" w:cs="Times New Roman"/>
          <w:sz w:val="36"/>
          <w:szCs w:val="36"/>
          <w:lang w:val="en-US" w:eastAsia="zh-CN"/>
        </w:rPr>
        <w:t>6</w:t>
      </w:r>
      <w:r>
        <w:rPr>
          <w:rFonts w:hint="default" w:ascii="Times New Roman" w:hAnsi="Times New Roman" w:eastAsia="黑体" w:cs="Times New Roman"/>
          <w:sz w:val="36"/>
          <w:szCs w:val="36"/>
        </w:rPr>
        <w:t>年</w:t>
      </w:r>
      <w:r>
        <w:rPr>
          <w:rFonts w:hint="eastAsia" w:ascii="Times New Roman" w:hAnsi="Times New Roman" w:eastAsia="黑体" w:cs="Times New Roman"/>
          <w:sz w:val="36"/>
          <w:szCs w:val="36"/>
          <w:lang w:val="en-US" w:eastAsia="zh-CN"/>
        </w:rPr>
        <w:t>三</w:t>
      </w:r>
      <w:r>
        <w:rPr>
          <w:rFonts w:hint="default" w:ascii="Times New Roman" w:hAnsi="Times New Roman" w:eastAsia="黑体" w:cs="Times New Roman"/>
          <w:sz w:val="36"/>
          <w:szCs w:val="36"/>
        </w:rPr>
        <w:t>季度）</w:t>
      </w:r>
    </w:p>
    <w:p w14:paraId="4A10F21F">
      <w:pPr>
        <w:pStyle w:val="8"/>
        <w:numPr>
          <w:ilvl w:val="0"/>
          <w:numId w:val="1"/>
        </w:numPr>
        <w:ind w:firstLineChars="0"/>
        <w:rPr>
          <w:rFonts w:hint="default" w:ascii="Times New Roman" w:hAnsi="Times New Roman" w:eastAsia="黑体" w:cs="Times New Roman"/>
          <w:sz w:val="28"/>
          <w:szCs w:val="28"/>
        </w:rPr>
      </w:pPr>
      <w:r>
        <w:rPr>
          <w:rFonts w:hint="default" w:ascii="Times New Roman" w:hAnsi="Times New Roman" w:eastAsia="黑体" w:cs="Times New Roman"/>
          <w:sz w:val="28"/>
          <w:szCs w:val="28"/>
        </w:rPr>
        <w:t>监测情况</w:t>
      </w:r>
    </w:p>
    <w:p w14:paraId="375C4B39">
      <w:pPr>
        <w:spacing w:line="480" w:lineRule="exact"/>
        <w:ind w:firstLine="560" w:firstLineChars="20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20</w:t>
      </w:r>
      <w:r>
        <w:rPr>
          <w:rFonts w:hint="default" w:ascii="Times New Roman" w:hAnsi="Times New Roman" w:cs="Times New Roman"/>
          <w:sz w:val="28"/>
          <w:szCs w:val="28"/>
          <w:lang w:val="en-US" w:eastAsia="zh-CN"/>
        </w:rPr>
        <w:t>2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6</w:t>
      </w:r>
      <w:r>
        <w:rPr>
          <w:rFonts w:hint="default" w:ascii="Times New Roman" w:hAnsi="Times New Roman" w:cs="Times New Roman"/>
          <w:sz w:val="28"/>
          <w:szCs w:val="28"/>
        </w:rPr>
        <w:t>年</w:t>
      </w:r>
      <w:r>
        <w:rPr>
          <w:rFonts w:hint="eastAsia" w:ascii="Times New Roman" w:hAnsi="Times New Roman" w:cs="Times New Roman"/>
          <w:sz w:val="28"/>
          <w:szCs w:val="28"/>
          <w:lang w:val="en-US" w:eastAsia="zh-CN"/>
        </w:rPr>
        <w:t>三</w:t>
      </w:r>
      <w:r>
        <w:rPr>
          <w:rFonts w:hint="default" w:ascii="Times New Roman" w:hAnsi="Times New Roman" w:cs="Times New Roman"/>
          <w:sz w:val="28"/>
          <w:szCs w:val="28"/>
        </w:rPr>
        <w:t>季度，每月对三水厂集中式生活饮用水水源进行监测（每月一次），</w:t>
      </w:r>
      <w:r>
        <w:rPr>
          <w:rFonts w:hint="default" w:ascii="Times New Roman" w:hAnsi="Times New Roman" w:cs="Times New Roman"/>
          <w:sz w:val="28"/>
          <w:szCs w:val="28"/>
          <w:lang w:eastAsia="zh-CN"/>
        </w:rPr>
        <w:t>三水厂</w:t>
      </w:r>
      <w:r>
        <w:rPr>
          <w:rFonts w:hint="default" w:ascii="Times New Roman" w:hAnsi="Times New Roman" w:cs="Times New Roman"/>
          <w:sz w:val="28"/>
          <w:szCs w:val="28"/>
        </w:rPr>
        <w:t>饮用水水源地的取水来源是长江，属地表水水源（河流型）。</w:t>
      </w:r>
    </w:p>
    <w:p w14:paraId="20AB322C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黑体" w:cs="Times New Roman"/>
          <w:sz w:val="28"/>
          <w:szCs w:val="28"/>
        </w:rPr>
        <w:t>（一）监测点位</w:t>
      </w:r>
    </w:p>
    <w:p w14:paraId="7EC00F74">
      <w:pPr>
        <w:spacing w:line="480" w:lineRule="exact"/>
        <w:ind w:firstLine="560" w:firstLineChars="20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按相关技术规范在水源地取水口设置1个监测点位进行采样。</w:t>
      </w:r>
    </w:p>
    <w:p w14:paraId="3D92A60D">
      <w:pPr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eastAsia="黑体" w:cs="Times New Roman"/>
          <w:sz w:val="28"/>
          <w:szCs w:val="28"/>
        </w:rPr>
        <w:t>（二）监测项目</w:t>
      </w:r>
    </w:p>
    <w:p w14:paraId="6574A4C3">
      <w:pPr>
        <w:spacing w:line="480" w:lineRule="exact"/>
        <w:ind w:firstLine="560" w:firstLineChars="20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监测项目为</w:t>
      </w:r>
      <w:bookmarkStart w:id="0" w:name="OLE_LINK1"/>
      <w:bookmarkStart w:id="1" w:name="OLE_LINK2"/>
      <w:r>
        <w:rPr>
          <w:rFonts w:hint="default" w:ascii="Times New Roman" w:hAnsi="Times New Roman" w:cs="Times New Roman"/>
          <w:sz w:val="28"/>
          <w:szCs w:val="28"/>
        </w:rPr>
        <w:t>《地表水环境质量标准》（GB3838-2002）</w:t>
      </w:r>
      <w:bookmarkEnd w:id="0"/>
      <w:bookmarkEnd w:id="1"/>
      <w:r>
        <w:rPr>
          <w:rFonts w:hint="default" w:ascii="Times New Roman" w:hAnsi="Times New Roman" w:cs="Times New Roman"/>
          <w:sz w:val="28"/>
          <w:szCs w:val="28"/>
        </w:rPr>
        <w:t>表1的基本项目（24项）、表2的补充项目（5项）和表3的优选特定项目（33项），共62项。</w:t>
      </w:r>
    </w:p>
    <w:p w14:paraId="207F741A">
      <w:pPr>
        <w:pStyle w:val="8"/>
        <w:numPr>
          <w:ilvl w:val="0"/>
          <w:numId w:val="1"/>
        </w:numPr>
        <w:ind w:firstLineChars="0"/>
        <w:rPr>
          <w:rFonts w:hint="default" w:ascii="Times New Roman" w:hAnsi="Times New Roman" w:eastAsia="黑体" w:cs="Times New Roman"/>
          <w:sz w:val="28"/>
          <w:szCs w:val="28"/>
        </w:rPr>
      </w:pPr>
      <w:r>
        <w:rPr>
          <w:rFonts w:hint="default" w:ascii="Times New Roman" w:hAnsi="Times New Roman" w:eastAsia="黑体" w:cs="Times New Roman"/>
          <w:sz w:val="28"/>
          <w:szCs w:val="28"/>
        </w:rPr>
        <w:t>评价标准及方法</w:t>
      </w:r>
    </w:p>
    <w:p w14:paraId="3154970E">
      <w:pPr>
        <w:spacing w:line="480" w:lineRule="exact"/>
        <w:ind w:firstLine="560" w:firstLineChars="20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</w:rPr>
        <w:t>根据《地表水环境质量标准》（GB3838-2002）进行评价。基本项目按照《地表水环境质量评价方法（试行）》（环办〔2011〕22号）进行评价，补充项目、特定项目采用单因子评价法进行评价。</w:t>
      </w:r>
    </w:p>
    <w:p w14:paraId="4A5FE205">
      <w:pPr>
        <w:pStyle w:val="8"/>
        <w:numPr>
          <w:ilvl w:val="0"/>
          <w:numId w:val="1"/>
        </w:numPr>
        <w:ind w:firstLineChars="0"/>
        <w:rPr>
          <w:rFonts w:hint="default" w:ascii="Times New Roman" w:hAnsi="Times New Roman" w:eastAsia="黑体" w:cs="Times New Roman"/>
          <w:sz w:val="28"/>
          <w:szCs w:val="28"/>
        </w:rPr>
      </w:pPr>
      <w:r>
        <w:rPr>
          <w:rFonts w:hint="default" w:ascii="Times New Roman" w:hAnsi="Times New Roman" w:eastAsia="黑体" w:cs="Times New Roman"/>
          <w:sz w:val="28"/>
          <w:szCs w:val="28"/>
        </w:rPr>
        <w:t>评价结果</w:t>
      </w:r>
    </w:p>
    <w:p w14:paraId="5CDCEE9E">
      <w:pPr>
        <w:spacing w:line="480" w:lineRule="exact"/>
        <w:ind w:firstLine="560" w:firstLineChars="200"/>
        <w:rPr>
          <w:rFonts w:hint="default" w:ascii="Times New Roman" w:hAnsi="Times New Roman" w:cs="Times New Roman"/>
          <w:sz w:val="28"/>
          <w:szCs w:val="28"/>
        </w:rPr>
      </w:pPr>
      <w:r>
        <w:rPr>
          <w:rFonts w:hint="default" w:ascii="Times New Roman" w:hAnsi="Times New Roman" w:cs="Times New Roman"/>
          <w:sz w:val="28"/>
          <w:szCs w:val="28"/>
          <w:lang w:eastAsia="zh-CN"/>
        </w:rPr>
        <w:t>三水厂</w:t>
      </w:r>
      <w:r>
        <w:rPr>
          <w:rFonts w:hint="default" w:ascii="Times New Roman" w:hAnsi="Times New Roman" w:cs="Times New Roman"/>
          <w:sz w:val="28"/>
          <w:szCs w:val="28"/>
        </w:rPr>
        <w:t>集中式饮用水水源达标。</w:t>
      </w:r>
      <w:bookmarkStart w:id="2" w:name="_GoBack"/>
      <w:bookmarkEnd w:id="2"/>
    </w:p>
    <w:p w14:paraId="393C2537">
      <w:pPr>
        <w:widowControl/>
        <w:jc w:val="left"/>
        <w:rPr>
          <w:rFonts w:hint="default" w:ascii="Times New Roman" w:hAnsi="Times New Roman" w:eastAsia="黑体" w:cs="Times New Roman"/>
          <w:sz w:val="28"/>
          <w:szCs w:val="28"/>
        </w:rPr>
      </w:pPr>
      <w:r>
        <w:rPr>
          <w:rFonts w:hint="default" w:ascii="Times New Roman" w:hAnsi="Times New Roman" w:eastAsia="黑体" w:cs="Times New Roman"/>
          <w:sz w:val="28"/>
          <w:szCs w:val="28"/>
        </w:rPr>
        <w:t>附表</w:t>
      </w:r>
    </w:p>
    <w:p w14:paraId="3063EA38">
      <w:pPr>
        <w:jc w:val="center"/>
        <w:rPr>
          <w:rFonts w:hint="default" w:ascii="Times New Roman" w:hAnsi="Times New Roman" w:cs="Times New Roman" w:eastAsiaTheme="majorEastAsia"/>
          <w:sz w:val="28"/>
          <w:szCs w:val="28"/>
        </w:rPr>
      </w:pPr>
      <w:r>
        <w:rPr>
          <w:rFonts w:hint="default" w:ascii="Times New Roman" w:hAnsi="Times New Roman" w:cs="Times New Roman" w:eastAsiaTheme="majorEastAsia"/>
          <w:sz w:val="28"/>
          <w:szCs w:val="28"/>
        </w:rPr>
        <w:t>20</w:t>
      </w:r>
      <w:r>
        <w:rPr>
          <w:rFonts w:hint="default" w:ascii="Times New Roman" w:hAnsi="Times New Roman" w:cs="Times New Roman" w:eastAsiaTheme="majorEastAsia"/>
          <w:sz w:val="28"/>
          <w:szCs w:val="28"/>
          <w:lang w:val="en-US" w:eastAsia="zh-CN"/>
        </w:rPr>
        <w:t>2</w:t>
      </w:r>
      <w:r>
        <w:rPr>
          <w:rFonts w:hint="eastAsia" w:ascii="Times New Roman" w:hAnsi="Times New Roman" w:cs="Times New Roman" w:eastAsiaTheme="majorEastAsia"/>
          <w:sz w:val="28"/>
          <w:szCs w:val="28"/>
          <w:lang w:val="en-US" w:eastAsia="zh-CN"/>
        </w:rPr>
        <w:t>6</w:t>
      </w:r>
      <w:r>
        <w:rPr>
          <w:rFonts w:hint="default" w:ascii="Times New Roman" w:hAnsi="Times New Roman" w:cs="Times New Roman" w:eastAsiaTheme="majorEastAsia"/>
          <w:sz w:val="28"/>
          <w:szCs w:val="28"/>
        </w:rPr>
        <w:t>年</w:t>
      </w:r>
      <w:r>
        <w:rPr>
          <w:rFonts w:hint="eastAsia" w:ascii="Times New Roman" w:hAnsi="Times New Roman" w:cs="Times New Roman" w:eastAsiaTheme="majorEastAsia"/>
          <w:sz w:val="28"/>
          <w:szCs w:val="28"/>
          <w:lang w:val="en-US" w:eastAsia="zh-CN"/>
        </w:rPr>
        <w:t>三</w:t>
      </w:r>
      <w:r>
        <w:rPr>
          <w:rFonts w:hint="default" w:ascii="Times New Roman" w:hAnsi="Times New Roman" w:cs="Times New Roman" w:eastAsiaTheme="majorEastAsia"/>
          <w:sz w:val="28"/>
          <w:szCs w:val="28"/>
        </w:rPr>
        <w:t>季度太仓市集中式饮用水水源水质状况</w:t>
      </w:r>
    </w:p>
    <w:tbl>
      <w:tblPr>
        <w:tblStyle w:val="6"/>
        <w:tblW w:w="9261" w:type="dxa"/>
        <w:jc w:val="center"/>
        <w:tbl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9"/>
        <w:gridCol w:w="948"/>
        <w:gridCol w:w="950"/>
        <w:gridCol w:w="1740"/>
        <w:gridCol w:w="1107"/>
        <w:gridCol w:w="950"/>
        <w:gridCol w:w="1987"/>
      </w:tblGrid>
      <w:tr w14:paraId="163CA607"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5" w:hRule="atLeast"/>
          <w:jc w:val="center"/>
        </w:trPr>
        <w:tc>
          <w:tcPr>
            <w:tcW w:w="1579" w:type="dxa"/>
            <w:vAlign w:val="center"/>
          </w:tcPr>
          <w:p w14:paraId="404B6BF2">
            <w:pPr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时间</w:t>
            </w:r>
          </w:p>
        </w:tc>
        <w:tc>
          <w:tcPr>
            <w:tcW w:w="948" w:type="dxa"/>
            <w:vAlign w:val="center"/>
          </w:tcPr>
          <w:p w14:paraId="6D56100E">
            <w:pPr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省份名称</w:t>
            </w:r>
          </w:p>
        </w:tc>
        <w:tc>
          <w:tcPr>
            <w:tcW w:w="950" w:type="dxa"/>
            <w:vAlign w:val="center"/>
          </w:tcPr>
          <w:p w14:paraId="320A17E9">
            <w:pPr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城市名称</w:t>
            </w:r>
          </w:p>
        </w:tc>
        <w:tc>
          <w:tcPr>
            <w:tcW w:w="1740" w:type="dxa"/>
            <w:vAlign w:val="center"/>
          </w:tcPr>
          <w:p w14:paraId="78F24FF7">
            <w:pPr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水源名称</w:t>
            </w:r>
          </w:p>
          <w:p w14:paraId="792D7B91">
            <w:pPr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（监测点位）</w:t>
            </w:r>
          </w:p>
        </w:tc>
        <w:tc>
          <w:tcPr>
            <w:tcW w:w="1107" w:type="dxa"/>
            <w:vAlign w:val="center"/>
          </w:tcPr>
          <w:p w14:paraId="4DF8CC54">
            <w:pPr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水源</w:t>
            </w:r>
          </w:p>
          <w:p w14:paraId="0A177617">
            <w:pPr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类型</w:t>
            </w:r>
          </w:p>
        </w:tc>
        <w:tc>
          <w:tcPr>
            <w:tcW w:w="950" w:type="dxa"/>
            <w:vAlign w:val="center"/>
          </w:tcPr>
          <w:p w14:paraId="1EE6F156">
            <w:pPr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达标情况</w:t>
            </w:r>
          </w:p>
        </w:tc>
        <w:tc>
          <w:tcPr>
            <w:tcW w:w="1987" w:type="dxa"/>
            <w:vAlign w:val="center"/>
          </w:tcPr>
          <w:p w14:paraId="1FBFCD94">
            <w:pPr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超标指标</w:t>
            </w:r>
          </w:p>
          <w:p w14:paraId="646E3727">
            <w:pPr>
              <w:jc w:val="center"/>
              <w:rPr>
                <w:rFonts w:hint="default" w:ascii="Times New Roman" w:hAnsi="Times New Roman" w:eastAsia="黑体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eastAsia="黑体" w:cs="Times New Roman"/>
                <w:sz w:val="24"/>
                <w:szCs w:val="24"/>
              </w:rPr>
              <w:t>及超标倍数</w:t>
            </w:r>
          </w:p>
        </w:tc>
      </w:tr>
      <w:tr w14:paraId="54F35A3E"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1579" w:type="dxa"/>
            <w:vAlign w:val="center"/>
          </w:tcPr>
          <w:p w14:paraId="2AD256F0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年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7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月</w:t>
            </w:r>
          </w:p>
        </w:tc>
        <w:tc>
          <w:tcPr>
            <w:tcW w:w="948" w:type="dxa"/>
            <w:vAlign w:val="center"/>
          </w:tcPr>
          <w:p w14:paraId="207F23E0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江苏</w:t>
            </w:r>
          </w:p>
        </w:tc>
        <w:tc>
          <w:tcPr>
            <w:tcW w:w="950" w:type="dxa"/>
            <w:vAlign w:val="center"/>
          </w:tcPr>
          <w:p w14:paraId="65267ADA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太仓</w:t>
            </w:r>
          </w:p>
        </w:tc>
        <w:tc>
          <w:tcPr>
            <w:tcW w:w="1740" w:type="dxa"/>
            <w:vAlign w:val="center"/>
          </w:tcPr>
          <w:p w14:paraId="6063303E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三水厂</w:t>
            </w:r>
          </w:p>
        </w:tc>
        <w:tc>
          <w:tcPr>
            <w:tcW w:w="1107" w:type="dxa"/>
            <w:vAlign w:val="center"/>
          </w:tcPr>
          <w:p w14:paraId="7C56D46E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地表水</w:t>
            </w:r>
          </w:p>
        </w:tc>
        <w:tc>
          <w:tcPr>
            <w:tcW w:w="950" w:type="dxa"/>
            <w:vAlign w:val="center"/>
          </w:tcPr>
          <w:p w14:paraId="63D890E3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达标</w:t>
            </w:r>
          </w:p>
        </w:tc>
        <w:tc>
          <w:tcPr>
            <w:tcW w:w="1987" w:type="dxa"/>
            <w:vAlign w:val="center"/>
          </w:tcPr>
          <w:p w14:paraId="6235C2B9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/</w:t>
            </w:r>
          </w:p>
        </w:tc>
      </w:tr>
      <w:tr w14:paraId="3C0B7FBF"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1579" w:type="dxa"/>
            <w:vAlign w:val="center"/>
          </w:tcPr>
          <w:p w14:paraId="760698D1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年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8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月</w:t>
            </w:r>
          </w:p>
        </w:tc>
        <w:tc>
          <w:tcPr>
            <w:tcW w:w="948" w:type="dxa"/>
            <w:vAlign w:val="center"/>
          </w:tcPr>
          <w:p w14:paraId="7EFAA06E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江苏</w:t>
            </w:r>
          </w:p>
        </w:tc>
        <w:tc>
          <w:tcPr>
            <w:tcW w:w="950" w:type="dxa"/>
            <w:vAlign w:val="center"/>
          </w:tcPr>
          <w:p w14:paraId="38D77220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太仓</w:t>
            </w:r>
          </w:p>
        </w:tc>
        <w:tc>
          <w:tcPr>
            <w:tcW w:w="1740" w:type="dxa"/>
            <w:vAlign w:val="center"/>
          </w:tcPr>
          <w:p w14:paraId="0728F9EB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三水厂</w:t>
            </w:r>
          </w:p>
        </w:tc>
        <w:tc>
          <w:tcPr>
            <w:tcW w:w="1107" w:type="dxa"/>
            <w:vAlign w:val="center"/>
          </w:tcPr>
          <w:p w14:paraId="4E45B08F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地表水</w:t>
            </w:r>
          </w:p>
        </w:tc>
        <w:tc>
          <w:tcPr>
            <w:tcW w:w="950" w:type="dxa"/>
            <w:vAlign w:val="center"/>
          </w:tcPr>
          <w:p w14:paraId="25615AB8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达标</w:t>
            </w:r>
          </w:p>
        </w:tc>
        <w:tc>
          <w:tcPr>
            <w:tcW w:w="1987" w:type="dxa"/>
            <w:vAlign w:val="center"/>
          </w:tcPr>
          <w:p w14:paraId="44744FA7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/</w:t>
            </w:r>
          </w:p>
        </w:tc>
      </w:tr>
      <w:tr w14:paraId="2D90C132">
        <w:tblPrEx>
          <w:tblBorders>
            <w:top w:val="single" w:color="000000" w:themeColor="text1" w:sz="8" w:space="0"/>
            <w:left w:val="single" w:color="000000" w:themeColor="text1" w:sz="8" w:space="0"/>
            <w:bottom w:val="single" w:color="000000" w:themeColor="text1" w:sz="8" w:space="0"/>
            <w:right w:val="single" w:color="000000" w:themeColor="text1" w:sz="8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8" w:hRule="atLeast"/>
          <w:jc w:val="center"/>
        </w:trPr>
        <w:tc>
          <w:tcPr>
            <w:tcW w:w="1579" w:type="dxa"/>
            <w:vAlign w:val="center"/>
          </w:tcPr>
          <w:p w14:paraId="29F685E8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20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en-US" w:eastAsia="zh-CN"/>
              </w:rPr>
              <w:t>2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年</w:t>
            </w: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9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>月</w:t>
            </w:r>
          </w:p>
        </w:tc>
        <w:tc>
          <w:tcPr>
            <w:tcW w:w="948" w:type="dxa"/>
            <w:vAlign w:val="center"/>
          </w:tcPr>
          <w:p w14:paraId="3BF318BE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江苏</w:t>
            </w:r>
          </w:p>
        </w:tc>
        <w:tc>
          <w:tcPr>
            <w:tcW w:w="950" w:type="dxa"/>
            <w:vAlign w:val="center"/>
          </w:tcPr>
          <w:p w14:paraId="59E9B135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太仓</w:t>
            </w:r>
          </w:p>
        </w:tc>
        <w:tc>
          <w:tcPr>
            <w:tcW w:w="1740" w:type="dxa"/>
            <w:vAlign w:val="center"/>
          </w:tcPr>
          <w:p w14:paraId="28F3A148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三水厂</w:t>
            </w:r>
          </w:p>
        </w:tc>
        <w:tc>
          <w:tcPr>
            <w:tcW w:w="1107" w:type="dxa"/>
            <w:vAlign w:val="center"/>
          </w:tcPr>
          <w:p w14:paraId="18FB24A4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地表水</w:t>
            </w:r>
          </w:p>
        </w:tc>
        <w:tc>
          <w:tcPr>
            <w:tcW w:w="950" w:type="dxa"/>
            <w:vAlign w:val="center"/>
          </w:tcPr>
          <w:p w14:paraId="0EAA19C4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达标</w:t>
            </w:r>
          </w:p>
        </w:tc>
        <w:tc>
          <w:tcPr>
            <w:tcW w:w="1987" w:type="dxa"/>
            <w:vAlign w:val="center"/>
          </w:tcPr>
          <w:p w14:paraId="133FD46A">
            <w:pPr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>/</w:t>
            </w:r>
          </w:p>
        </w:tc>
      </w:tr>
    </w:tbl>
    <w:p w14:paraId="28BF357C">
      <w:pPr>
        <w:spacing w:line="240" w:lineRule="exact"/>
        <w:ind w:firstLine="420" w:firstLineChars="200"/>
        <w:jc w:val="center"/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A647BCC"/>
    <w:multiLevelType w:val="multilevel"/>
    <w:tmpl w:val="2A647BCC"/>
    <w:lvl w:ilvl="0" w:tentative="0">
      <w:start w:val="1"/>
      <w:numFmt w:val="japaneseCounting"/>
      <w:lvlText w:val="%1、"/>
      <w:lvlJc w:val="left"/>
      <w:pPr>
        <w:ind w:left="420" w:hanging="420"/>
      </w:pPr>
      <w:rPr>
        <w:rFonts w:hint="eastAsia" w:ascii="黑体" w:eastAsia="黑体"/>
        <w:sz w:val="32"/>
        <w:szCs w:val="32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FmODI5YzM0Y2E0YjQ4ZTNkYTZkMWU1ZTA1ZGM1YzEifQ=="/>
  </w:docVars>
  <w:rsids>
    <w:rsidRoot w:val="00B86334"/>
    <w:rsid w:val="00004C25"/>
    <w:rsid w:val="0003059B"/>
    <w:rsid w:val="000E1A52"/>
    <w:rsid w:val="00106807"/>
    <w:rsid w:val="00146EA2"/>
    <w:rsid w:val="00160F85"/>
    <w:rsid w:val="00162F7C"/>
    <w:rsid w:val="001C41D4"/>
    <w:rsid w:val="001C5FCA"/>
    <w:rsid w:val="0025039D"/>
    <w:rsid w:val="0026706D"/>
    <w:rsid w:val="0027675E"/>
    <w:rsid w:val="002F684C"/>
    <w:rsid w:val="00302B32"/>
    <w:rsid w:val="00321EB3"/>
    <w:rsid w:val="0036035D"/>
    <w:rsid w:val="003A603E"/>
    <w:rsid w:val="00420DC6"/>
    <w:rsid w:val="00461733"/>
    <w:rsid w:val="004B1EB4"/>
    <w:rsid w:val="004F6799"/>
    <w:rsid w:val="005346A2"/>
    <w:rsid w:val="0054780F"/>
    <w:rsid w:val="005E7EB4"/>
    <w:rsid w:val="006211CD"/>
    <w:rsid w:val="00627488"/>
    <w:rsid w:val="00657665"/>
    <w:rsid w:val="00673AF6"/>
    <w:rsid w:val="00684D61"/>
    <w:rsid w:val="00684F1E"/>
    <w:rsid w:val="00686DCA"/>
    <w:rsid w:val="006A76EB"/>
    <w:rsid w:val="00732DCB"/>
    <w:rsid w:val="007765EA"/>
    <w:rsid w:val="007875B2"/>
    <w:rsid w:val="00796828"/>
    <w:rsid w:val="007D01CA"/>
    <w:rsid w:val="007E664C"/>
    <w:rsid w:val="007E7258"/>
    <w:rsid w:val="007E7638"/>
    <w:rsid w:val="00805B93"/>
    <w:rsid w:val="00813ABC"/>
    <w:rsid w:val="00846725"/>
    <w:rsid w:val="008709BC"/>
    <w:rsid w:val="008A4735"/>
    <w:rsid w:val="00911EA0"/>
    <w:rsid w:val="00935B17"/>
    <w:rsid w:val="009906AB"/>
    <w:rsid w:val="009C7AF4"/>
    <w:rsid w:val="009E5531"/>
    <w:rsid w:val="00A02F63"/>
    <w:rsid w:val="00A21360"/>
    <w:rsid w:val="00A336EE"/>
    <w:rsid w:val="00A7227E"/>
    <w:rsid w:val="00AA3C96"/>
    <w:rsid w:val="00AA44D6"/>
    <w:rsid w:val="00AC01B4"/>
    <w:rsid w:val="00AE3DED"/>
    <w:rsid w:val="00B12709"/>
    <w:rsid w:val="00B245EB"/>
    <w:rsid w:val="00B70B04"/>
    <w:rsid w:val="00B82048"/>
    <w:rsid w:val="00B86334"/>
    <w:rsid w:val="00B90AEC"/>
    <w:rsid w:val="00BC4D9B"/>
    <w:rsid w:val="00BF3B59"/>
    <w:rsid w:val="00C55155"/>
    <w:rsid w:val="00C65D76"/>
    <w:rsid w:val="00C762D6"/>
    <w:rsid w:val="00CD3D2B"/>
    <w:rsid w:val="00D46FA7"/>
    <w:rsid w:val="00DF36F5"/>
    <w:rsid w:val="00E65308"/>
    <w:rsid w:val="00EA1A89"/>
    <w:rsid w:val="00F35C78"/>
    <w:rsid w:val="03B02342"/>
    <w:rsid w:val="05816204"/>
    <w:rsid w:val="05BE3907"/>
    <w:rsid w:val="0B873F0E"/>
    <w:rsid w:val="11115777"/>
    <w:rsid w:val="16701619"/>
    <w:rsid w:val="19182C3B"/>
    <w:rsid w:val="1BF016D3"/>
    <w:rsid w:val="1DFE55AC"/>
    <w:rsid w:val="2525475A"/>
    <w:rsid w:val="25A2541A"/>
    <w:rsid w:val="2B1A2D5F"/>
    <w:rsid w:val="2D323198"/>
    <w:rsid w:val="2D826174"/>
    <w:rsid w:val="3119001C"/>
    <w:rsid w:val="34592839"/>
    <w:rsid w:val="3B394CA5"/>
    <w:rsid w:val="3BEA3A89"/>
    <w:rsid w:val="3D2D0714"/>
    <w:rsid w:val="416263D6"/>
    <w:rsid w:val="52993D09"/>
    <w:rsid w:val="54497F30"/>
    <w:rsid w:val="56BF07A6"/>
    <w:rsid w:val="5B2721FB"/>
    <w:rsid w:val="5FAB2583"/>
    <w:rsid w:val="618B1F3B"/>
    <w:rsid w:val="661610FC"/>
    <w:rsid w:val="6B2A0628"/>
    <w:rsid w:val="6E8F6797"/>
    <w:rsid w:val="6FA465D0"/>
    <w:rsid w:val="75BA2FA4"/>
    <w:rsid w:val="76B3466C"/>
    <w:rsid w:val="77732DD0"/>
    <w:rsid w:val="79A379B6"/>
    <w:rsid w:val="7AC335AB"/>
    <w:rsid w:val="7C9C54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semiHidden/>
    <w:qFormat/>
    <w:uiPriority w:val="99"/>
    <w:rPr>
      <w:sz w:val="18"/>
      <w:szCs w:val="18"/>
    </w:rPr>
  </w:style>
  <w:style w:type="character" w:customStyle="1" w:styleId="11">
    <w:name w:val="批注框文本 Char"/>
    <w:basedOn w:val="7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Lenovo (Beijing) Limited</Company>
  <Pages>1</Pages>
  <Words>410</Words>
  <Characters>455</Characters>
  <Lines>4</Lines>
  <Paragraphs>1</Paragraphs>
  <TotalTime>2</TotalTime>
  <ScaleCrop>false</ScaleCrop>
  <LinksUpToDate>false</LinksUpToDate>
  <CharactersWithSpaces>455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2016-02-04T01:24:00Z</dcterms:created>
  <dc:creator>Lenovo User</dc:creator>
  <cp:lastModifiedBy>仰望的随心</cp:lastModifiedBy>
  <cp:lastPrinted>2025-04-02T02:20:00Z</cp:lastPrinted>
  <dcterms:modified xsi:type="dcterms:W3CDTF">2026-10-08T01:46:49Z</dcterms:modified>
  <cp:revision>24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03B2EBABD62E4976B8C0B9F7C68A8F87</vt:lpwstr>
  </property>
  <property fmtid="{D5CDD505-2E9C-101B-9397-08002B2CF9AE}" pid="4" name="KSOTemplateDocerSaveRecord">
    <vt:lpwstr>eyJoZGlkIjoiMjFmODI5YzM0Y2E0YjQ4ZTNkYTZkMWU1ZTA1ZGM1YzEiLCJ1c2VySWQiOiI3NzA1MTQ5MjcifQ==</vt:lpwstr>
  </property>
</Properties>
</file>