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before="0" w:beforeLines="0" w:beforeAutospacing="0" w:after="0" w:afterLines="0" w:afterAutospacing="0" w:line="660" w:lineRule="exact"/>
        <w:jc w:val="both"/>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附件：</w:t>
      </w:r>
    </w:p>
    <w:p>
      <w:pPr>
        <w:widowControl w:val="0"/>
        <w:adjustRightInd w:val="0"/>
        <w:snapToGrid w:val="0"/>
        <w:spacing w:before="0" w:beforeLines="0" w:beforeAutospacing="0" w:after="0" w:afterLines="0" w:afterAutospacing="0" w:line="660" w:lineRule="exact"/>
        <w:jc w:val="both"/>
        <w:rPr>
          <w:rFonts w:hint="eastAsia" w:eastAsia="方正小标宋简体" w:cstheme="minorBidi"/>
          <w:b w:val="0"/>
          <w:bCs w:val="0"/>
          <w:kern w:val="2"/>
          <w:sz w:val="44"/>
          <w:szCs w:val="44"/>
          <w:lang w:val="en-US" w:eastAsia="zh-CN"/>
        </w:rPr>
      </w:pPr>
      <w:r>
        <w:rPr>
          <w:rFonts w:hint="eastAsia" w:eastAsia="方正小标宋简体" w:cstheme="minorBidi"/>
          <w:b w:val="0"/>
          <w:bCs w:val="0"/>
          <w:kern w:val="2"/>
          <w:sz w:val="44"/>
          <w:szCs w:val="44"/>
          <w:lang w:val="en-US" w:eastAsia="zh-CN"/>
        </w:rPr>
        <w:t xml:space="preserve">  </w:t>
      </w:r>
    </w:p>
    <w:p>
      <w:pPr>
        <w:widowControl w:val="0"/>
        <w:adjustRightInd w:val="0"/>
        <w:snapToGrid w:val="0"/>
        <w:spacing w:before="0" w:beforeLines="0" w:beforeAutospacing="0" w:after="0" w:afterLines="0" w:afterAutospacing="0" w:line="660" w:lineRule="exact"/>
        <w:jc w:val="both"/>
        <w:rPr>
          <w:rFonts w:hint="eastAsia" w:eastAsia="方正小标宋简体" w:asciiTheme="minorHAnsi" w:hAnsiTheme="minorHAnsi" w:cstheme="minorBidi"/>
          <w:b w:val="0"/>
          <w:bCs w:val="0"/>
          <w:color w:val="auto"/>
          <w:kern w:val="2"/>
          <w:sz w:val="44"/>
          <w:szCs w:val="44"/>
        </w:rPr>
      </w:pPr>
      <w:r>
        <w:rPr>
          <w:rFonts w:hint="eastAsia" w:eastAsia="方正小标宋简体" w:cstheme="minorBidi"/>
          <w:b w:val="0"/>
          <w:bCs w:val="0"/>
          <w:kern w:val="2"/>
          <w:sz w:val="44"/>
          <w:szCs w:val="44"/>
          <w:lang w:val="en-US" w:eastAsia="zh-CN"/>
        </w:rPr>
        <w:t>太仓</w:t>
      </w:r>
      <w:r>
        <w:rPr>
          <w:rFonts w:hint="eastAsia" w:eastAsia="方正小标宋简体" w:asciiTheme="minorHAnsi" w:hAnsiTheme="minorHAnsi" w:cstheme="minorBidi"/>
          <w:b w:val="0"/>
          <w:bCs w:val="0"/>
          <w:color w:val="auto"/>
          <w:kern w:val="2"/>
          <w:sz w:val="44"/>
          <w:szCs w:val="44"/>
        </w:rPr>
        <w:t>市生态补偿资金管理办法</w:t>
      </w:r>
      <w:r>
        <w:rPr>
          <w:rFonts w:hint="eastAsia" w:eastAsia="方正小标宋简体" w:cstheme="minorBidi"/>
          <w:b w:val="0"/>
          <w:bCs w:val="0"/>
          <w:color w:val="auto"/>
          <w:kern w:val="2"/>
          <w:sz w:val="44"/>
          <w:szCs w:val="44"/>
          <w:lang w:val="en-US" w:eastAsia="zh-CN"/>
        </w:rPr>
        <w:t>(征求意见稿）</w:t>
      </w:r>
    </w:p>
    <w:p>
      <w:pPr>
        <w:widowControl/>
        <w:spacing w:before="100" w:beforeAutospacing="1" w:after="100" w:afterAutospacing="1"/>
        <w:jc w:val="center"/>
        <w:rPr>
          <w:rFonts w:ascii="黑体" w:hAnsi="黑体" w:eastAsia="黑体" w:cs="黑体"/>
          <w:kern w:val="0"/>
          <w:sz w:val="32"/>
          <w:szCs w:val="32"/>
        </w:rPr>
      </w:pPr>
      <w:r>
        <w:rPr>
          <w:rFonts w:hint="eastAsia" w:ascii="黑体" w:hAnsi="黑体" w:eastAsia="黑体" w:cs="黑体"/>
          <w:kern w:val="0"/>
          <w:sz w:val="32"/>
          <w:szCs w:val="32"/>
        </w:rPr>
        <w:t>第一章 总则</w:t>
      </w:r>
    </w:p>
    <w:p>
      <w:pPr>
        <w:spacing w:line="570" w:lineRule="exact"/>
        <w:ind w:firstLine="640" w:firstLineChars="200"/>
        <w:rPr>
          <w:rFonts w:ascii="仿宋" w:hAnsi="仿宋" w:eastAsia="仿宋" w:cs="仿宋"/>
          <w:kern w:val="0"/>
          <w:sz w:val="32"/>
          <w:szCs w:val="32"/>
        </w:rPr>
      </w:pPr>
      <w:r>
        <w:rPr>
          <w:rFonts w:hint="eastAsia" w:ascii="楷体" w:hAnsi="楷体" w:eastAsia="楷体" w:cs="楷体"/>
          <w:color w:val="000000"/>
          <w:kern w:val="0"/>
          <w:sz w:val="32"/>
          <w:szCs w:val="32"/>
        </w:rPr>
        <w:t xml:space="preserve">第一条 </w:t>
      </w:r>
      <w:r>
        <w:rPr>
          <w:rFonts w:hint="eastAsia" w:ascii="仿宋" w:hAnsi="仿宋" w:eastAsia="仿宋" w:cs="仿宋"/>
          <w:color w:val="000000"/>
          <w:kern w:val="0"/>
          <w:sz w:val="32"/>
          <w:szCs w:val="32"/>
        </w:rPr>
        <w:t xml:space="preserve"> 为了规范</w:t>
      </w:r>
      <w:r>
        <w:rPr>
          <w:rFonts w:hint="eastAsia" w:ascii="仿宋" w:hAnsi="仿宋" w:eastAsia="仿宋" w:cs="仿宋"/>
          <w:color w:val="000000"/>
          <w:kern w:val="0"/>
          <w:sz w:val="32"/>
          <w:szCs w:val="32"/>
          <w:lang w:eastAsia="zh-CN"/>
        </w:rPr>
        <w:t>太仓</w:t>
      </w:r>
      <w:r>
        <w:rPr>
          <w:rFonts w:hint="eastAsia" w:ascii="仿宋" w:hAnsi="仿宋" w:eastAsia="仿宋" w:cs="仿宋"/>
          <w:color w:val="000000"/>
          <w:kern w:val="0"/>
          <w:sz w:val="32"/>
          <w:szCs w:val="32"/>
        </w:rPr>
        <w:t>市生态补偿资金管理（以下简称生态补偿资金），提高资金使用效益，根据《中华人民共和国预算法》《苏州市生态补偿条例》等法律法规，制定本办法。</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w:t>
      </w:r>
      <w:r>
        <w:rPr>
          <w:rFonts w:hint="eastAsia" w:ascii="楷体" w:hAnsi="楷体" w:eastAsia="楷体" w:cs="楷体"/>
          <w:color w:val="000000"/>
          <w:kern w:val="0"/>
          <w:sz w:val="32"/>
          <w:szCs w:val="32"/>
        </w:rPr>
        <w:t>第二条</w:t>
      </w:r>
      <w:r>
        <w:rPr>
          <w:rFonts w:hint="eastAsia" w:ascii="仿宋" w:hAnsi="仿宋" w:eastAsia="仿宋" w:cs="仿宋"/>
          <w:color w:val="000000"/>
          <w:kern w:val="0"/>
          <w:sz w:val="32"/>
          <w:szCs w:val="32"/>
        </w:rPr>
        <w:t xml:space="preserve">  本办法所称</w:t>
      </w:r>
      <w:r>
        <w:rPr>
          <w:rFonts w:hint="eastAsia" w:ascii="仿宋" w:hAnsi="仿宋" w:eastAsia="仿宋" w:cs="仿宋"/>
          <w:color w:val="000000"/>
          <w:kern w:val="0"/>
          <w:sz w:val="32"/>
          <w:szCs w:val="32"/>
          <w:lang w:eastAsia="zh-CN"/>
        </w:rPr>
        <w:t>太仓</w:t>
      </w:r>
      <w:r>
        <w:rPr>
          <w:rFonts w:hint="eastAsia" w:ascii="仿宋" w:hAnsi="仿宋" w:eastAsia="仿宋" w:cs="仿宋"/>
          <w:color w:val="000000"/>
          <w:kern w:val="0"/>
          <w:sz w:val="32"/>
          <w:szCs w:val="32"/>
        </w:rPr>
        <w:t>市生态补偿资金是</w:t>
      </w:r>
      <w:r>
        <w:rPr>
          <w:rFonts w:hint="eastAsia" w:ascii="仿宋" w:hAnsi="仿宋" w:eastAsia="仿宋" w:cs="仿宋"/>
          <w:color w:val="000000"/>
          <w:kern w:val="0"/>
          <w:sz w:val="32"/>
          <w:szCs w:val="32"/>
          <w:lang w:eastAsia="zh-CN"/>
        </w:rPr>
        <w:t>太仓市政府</w:t>
      </w:r>
      <w:r>
        <w:rPr>
          <w:rFonts w:hint="eastAsia" w:ascii="仿宋" w:hAnsi="仿宋" w:eastAsia="仿宋" w:cs="仿宋"/>
          <w:color w:val="000000"/>
          <w:kern w:val="0"/>
          <w:sz w:val="32"/>
          <w:szCs w:val="32"/>
        </w:rPr>
        <w:t>对因保护和恢复生态环境及其功能，经济发展受到限制的补偿对象给予经济补偿而设立的资金。</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w:t>
      </w:r>
      <w:r>
        <w:rPr>
          <w:rFonts w:hint="eastAsia" w:ascii="楷体" w:hAnsi="楷体" w:eastAsia="楷体" w:cs="楷体"/>
          <w:color w:val="000000"/>
          <w:kern w:val="0"/>
          <w:sz w:val="32"/>
          <w:szCs w:val="32"/>
        </w:rPr>
        <w:t>第三条</w:t>
      </w:r>
      <w:r>
        <w:rPr>
          <w:rFonts w:hint="eastAsia" w:ascii="仿宋" w:hAnsi="仿宋" w:eastAsia="仿宋" w:cs="仿宋"/>
          <w:color w:val="000000"/>
          <w:kern w:val="0"/>
          <w:sz w:val="32"/>
          <w:szCs w:val="32"/>
        </w:rPr>
        <w:t xml:space="preserve"> </w:t>
      </w:r>
      <w:r>
        <w:rPr>
          <w:rFonts w:hint="eastAsia" w:ascii="仿宋" w:hAnsi="仿宋" w:eastAsia="仿宋" w:cs="仿宋"/>
          <w:kern w:val="0"/>
          <w:sz w:val="32"/>
          <w:szCs w:val="32"/>
        </w:rPr>
        <w:t xml:space="preserve"> 生态补偿资金的管理遵循政府主导、社会参与、权责一致、突出重点的原则。</w:t>
      </w:r>
    </w:p>
    <w:p>
      <w:pPr>
        <w:spacing w:line="570" w:lineRule="exact"/>
        <w:ind w:firstLine="640" w:firstLineChars="200"/>
        <w:rPr>
          <w:rFonts w:hint="eastAsia" w:ascii="仿宋" w:hAnsi="仿宋" w:eastAsia="仿宋" w:cs="仿宋"/>
          <w:kern w:val="0"/>
          <w:sz w:val="32"/>
          <w:szCs w:val="32"/>
        </w:rPr>
      </w:pPr>
      <w:r>
        <w:rPr>
          <w:rFonts w:hint="eastAsia" w:ascii="楷体" w:hAnsi="楷体" w:eastAsia="楷体" w:cs="楷体"/>
          <w:color w:val="000000"/>
          <w:kern w:val="0"/>
          <w:sz w:val="32"/>
          <w:szCs w:val="32"/>
        </w:rPr>
        <w:t>第四条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市财政局</w:t>
      </w:r>
      <w:r>
        <w:rPr>
          <w:rFonts w:hint="eastAsia" w:ascii="仿宋" w:hAnsi="仿宋" w:eastAsia="仿宋" w:cs="仿宋"/>
          <w:kern w:val="0"/>
          <w:sz w:val="32"/>
          <w:szCs w:val="32"/>
        </w:rPr>
        <w:t>负责统筹协调本行政区域的生态补偿工作，</w:t>
      </w:r>
      <w:r>
        <w:rPr>
          <w:rFonts w:hint="eastAsia" w:ascii="仿宋" w:hAnsi="仿宋" w:eastAsia="仿宋" w:cs="仿宋"/>
          <w:kern w:val="0"/>
          <w:sz w:val="32"/>
          <w:szCs w:val="32"/>
          <w:lang w:eastAsia="zh-CN"/>
        </w:rPr>
        <w:t>市</w:t>
      </w:r>
      <w:r>
        <w:rPr>
          <w:rFonts w:hint="eastAsia" w:ascii="仿宋" w:hAnsi="仿宋" w:eastAsia="仿宋" w:cs="仿宋"/>
          <w:sz w:val="32"/>
          <w:szCs w:val="32"/>
        </w:rPr>
        <w:t>农业</w:t>
      </w:r>
      <w:r>
        <w:rPr>
          <w:rFonts w:hint="eastAsia" w:ascii="仿宋" w:hAnsi="仿宋" w:eastAsia="仿宋" w:cs="仿宋"/>
          <w:sz w:val="32"/>
          <w:szCs w:val="32"/>
          <w:lang w:eastAsia="zh-CN"/>
        </w:rPr>
        <w:t>农村局</w:t>
      </w:r>
      <w:r>
        <w:rPr>
          <w:rFonts w:hint="eastAsia" w:ascii="仿宋" w:hAnsi="仿宋" w:eastAsia="仿宋" w:cs="仿宋"/>
          <w:sz w:val="32"/>
          <w:szCs w:val="32"/>
        </w:rPr>
        <w:t>、</w:t>
      </w:r>
      <w:r>
        <w:rPr>
          <w:rFonts w:hint="eastAsia" w:ascii="仿宋" w:hAnsi="仿宋" w:eastAsia="仿宋" w:cs="仿宋"/>
          <w:sz w:val="32"/>
          <w:szCs w:val="32"/>
          <w:lang w:eastAsia="zh-CN"/>
        </w:rPr>
        <w:t>市自然资源和规划局</w:t>
      </w:r>
      <w:r>
        <w:rPr>
          <w:rFonts w:hint="eastAsia" w:ascii="仿宋" w:hAnsi="仿宋" w:eastAsia="仿宋" w:cs="仿宋"/>
          <w:sz w:val="32"/>
          <w:szCs w:val="32"/>
        </w:rPr>
        <w:t>、</w:t>
      </w:r>
      <w:r>
        <w:rPr>
          <w:rFonts w:hint="eastAsia" w:ascii="仿宋" w:hAnsi="仿宋" w:eastAsia="仿宋" w:cs="仿宋"/>
          <w:sz w:val="32"/>
          <w:szCs w:val="32"/>
          <w:lang w:eastAsia="zh-CN"/>
        </w:rPr>
        <w:t>市</w:t>
      </w:r>
      <w:r>
        <w:rPr>
          <w:rFonts w:hint="eastAsia" w:ascii="仿宋" w:hAnsi="仿宋" w:eastAsia="仿宋" w:cs="仿宋"/>
          <w:sz w:val="32"/>
          <w:szCs w:val="32"/>
        </w:rPr>
        <w:t>水务</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苏州市太仓</w:t>
      </w:r>
      <w:r>
        <w:rPr>
          <w:rFonts w:hint="eastAsia" w:ascii="仿宋" w:hAnsi="仿宋" w:eastAsia="仿宋" w:cs="仿宋"/>
          <w:sz w:val="32"/>
          <w:szCs w:val="32"/>
        </w:rPr>
        <w:t>生态环境</w:t>
      </w:r>
      <w:r>
        <w:rPr>
          <w:rFonts w:hint="eastAsia" w:ascii="仿宋" w:hAnsi="仿宋" w:eastAsia="仿宋" w:cs="仿宋"/>
          <w:sz w:val="32"/>
          <w:szCs w:val="32"/>
          <w:lang w:eastAsia="zh-CN"/>
        </w:rPr>
        <w:t>局</w:t>
      </w:r>
      <w:r>
        <w:rPr>
          <w:rFonts w:hint="eastAsia" w:ascii="仿宋" w:hAnsi="仿宋" w:eastAsia="仿宋" w:cs="仿宋"/>
          <w:sz w:val="32"/>
          <w:szCs w:val="32"/>
        </w:rPr>
        <w:t>等主管部门，负责做好本部门职能范围内的生态补偿工作</w:t>
      </w:r>
      <w:r>
        <w:rPr>
          <w:rFonts w:hint="eastAsia" w:ascii="仿宋" w:hAnsi="仿宋" w:eastAsia="仿宋" w:cs="仿宋"/>
          <w:kern w:val="0"/>
          <w:sz w:val="32"/>
          <w:szCs w:val="32"/>
        </w:rPr>
        <w:t>。</w:t>
      </w:r>
    </w:p>
    <w:p>
      <w:pPr>
        <w:spacing w:line="570" w:lineRule="exact"/>
        <w:ind w:firstLine="640" w:firstLineChars="200"/>
        <w:rPr>
          <w:rFonts w:ascii="黑体" w:hAnsi="黑体" w:eastAsia="黑体" w:cs="黑体"/>
          <w:kern w:val="0"/>
          <w:sz w:val="32"/>
          <w:szCs w:val="32"/>
        </w:rPr>
      </w:pP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黑体" w:hAnsi="黑体" w:eastAsia="黑体" w:cs="黑体"/>
          <w:kern w:val="0"/>
          <w:sz w:val="32"/>
          <w:szCs w:val="32"/>
        </w:rPr>
        <w:t>第二章  部门职责</w:t>
      </w:r>
    </w:p>
    <w:p>
      <w:pPr>
        <w:spacing w:beforeLines="0" w:afterLines="0" w:line="570" w:lineRule="exact"/>
        <w:ind w:firstLine="640" w:firstLineChars="200"/>
        <w:rPr>
          <w:rFonts w:ascii="仿宋" w:hAnsi="仿宋" w:eastAsia="仿宋" w:cs="仿宋"/>
          <w:color w:val="auto"/>
          <w:sz w:val="32"/>
          <w:szCs w:val="32"/>
        </w:rPr>
      </w:pPr>
      <w:r>
        <w:rPr>
          <w:rFonts w:hint="eastAsia" w:ascii="楷体" w:hAnsi="楷体" w:eastAsia="楷体" w:cs="楷体"/>
          <w:color w:val="000000"/>
          <w:kern w:val="0"/>
          <w:sz w:val="32"/>
          <w:szCs w:val="32"/>
        </w:rPr>
        <w:t>第五条</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 </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主管部门分别履行以下职责：</w:t>
      </w:r>
    </w:p>
    <w:p>
      <w:pPr>
        <w:spacing w:beforeLines="0" w:afterLines="0" w:line="57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市财政局</w:t>
      </w:r>
      <w:r>
        <w:rPr>
          <w:rFonts w:hint="eastAsia" w:ascii="仿宋" w:hAnsi="仿宋" w:eastAsia="仿宋" w:cs="仿宋"/>
          <w:sz w:val="32"/>
          <w:szCs w:val="32"/>
        </w:rPr>
        <w:t>：负责统筹协调本行政区域的生态补偿工作；提出生态补偿标准方案，会同相关部门审核、确定生态补偿资金分配方案；负责生态补偿资金审核结果和分配方案的公示；负责制定生态补偿资金管理办法；规范生态补偿资金会计核算和档案管理，组织开展生态补偿资金绩效管理，监督生态补偿资金使用；做好生态补偿政策的宣传。</w:t>
      </w:r>
    </w:p>
    <w:p>
      <w:pPr>
        <w:spacing w:beforeLines="0" w:afterLines="0" w:line="57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市农业农村局</w:t>
      </w:r>
      <w:r>
        <w:rPr>
          <w:rFonts w:hint="eastAsia" w:ascii="仿宋" w:hAnsi="仿宋" w:eastAsia="仿宋" w:cs="仿宋"/>
          <w:sz w:val="32"/>
          <w:szCs w:val="32"/>
        </w:rPr>
        <w:t>：负责水稻田生态补偿范围的认定；</w:t>
      </w:r>
      <w:r>
        <w:rPr>
          <w:rFonts w:hint="eastAsia" w:ascii="仿宋" w:hAnsi="仿宋" w:eastAsia="仿宋" w:cs="仿宋"/>
          <w:sz w:val="32"/>
          <w:szCs w:val="32"/>
          <w:lang w:eastAsia="zh-CN"/>
        </w:rPr>
        <w:t>配合市财政局</w:t>
      </w:r>
      <w:r>
        <w:rPr>
          <w:rFonts w:hint="eastAsia" w:ascii="仿宋" w:hAnsi="仿宋" w:eastAsia="仿宋" w:cs="仿宋"/>
          <w:sz w:val="32"/>
          <w:szCs w:val="32"/>
        </w:rPr>
        <w:t>提出水稻田生态补偿方案；审核水稻田生态补偿申报材料；加强生态补偿区域内生态保护技术指导，监督水稻田生态保护落实情况；做好生态补偿政策的宣传。</w:t>
      </w:r>
    </w:p>
    <w:p>
      <w:pPr>
        <w:spacing w:beforeLines="0" w:afterLines="0"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市水务局</w:t>
      </w:r>
      <w:r>
        <w:rPr>
          <w:rFonts w:hint="eastAsia" w:ascii="仿宋" w:hAnsi="仿宋" w:eastAsia="仿宋" w:cs="仿宋"/>
          <w:sz w:val="32"/>
          <w:szCs w:val="32"/>
        </w:rPr>
        <w:t>：负责水源地生态补偿范围认定；配合</w:t>
      </w:r>
      <w:r>
        <w:rPr>
          <w:rFonts w:hint="eastAsia" w:ascii="仿宋" w:hAnsi="仿宋" w:eastAsia="仿宋" w:cs="仿宋"/>
          <w:sz w:val="32"/>
          <w:szCs w:val="32"/>
          <w:lang w:eastAsia="zh-CN"/>
        </w:rPr>
        <w:t>市财政局</w:t>
      </w:r>
      <w:r>
        <w:rPr>
          <w:rFonts w:hint="eastAsia" w:ascii="仿宋" w:hAnsi="仿宋" w:eastAsia="仿宋" w:cs="仿宋"/>
          <w:sz w:val="32"/>
          <w:szCs w:val="32"/>
        </w:rPr>
        <w:t>提出水源地生态补偿方案；审核水源地生态补偿申报材料；加强生态补偿区域内生态保护技术指导，监督水源地生态保护落实情况；做好生态补偿政策的宣传。</w:t>
      </w:r>
    </w:p>
    <w:p>
      <w:pPr>
        <w:spacing w:beforeLines="0" w:afterLines="0"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市自然资源和规划局</w:t>
      </w:r>
      <w:r>
        <w:rPr>
          <w:rFonts w:hint="eastAsia" w:ascii="仿宋" w:hAnsi="仿宋" w:eastAsia="仿宋" w:cs="仿宋"/>
          <w:sz w:val="32"/>
          <w:szCs w:val="32"/>
        </w:rPr>
        <w:t>：负责生态公益林、重要湿地、风景名胜区生态补偿范围认定；配合</w:t>
      </w:r>
      <w:r>
        <w:rPr>
          <w:rFonts w:hint="eastAsia" w:ascii="仿宋" w:hAnsi="仿宋" w:eastAsia="仿宋" w:cs="仿宋"/>
          <w:sz w:val="32"/>
          <w:szCs w:val="32"/>
          <w:lang w:eastAsia="zh-CN"/>
        </w:rPr>
        <w:t>市财政局</w:t>
      </w:r>
      <w:r>
        <w:rPr>
          <w:rFonts w:hint="eastAsia" w:ascii="仿宋" w:hAnsi="仿宋" w:eastAsia="仿宋" w:cs="仿宋"/>
          <w:sz w:val="32"/>
          <w:szCs w:val="32"/>
        </w:rPr>
        <w:t>提出生态公益林、重要湿地、风景名胜区生态补偿方案；审核生态公益林、重要湿地、风景名胜区生态补偿申报材料；加强生态补偿区域内生态保护技术指导，监督生态公益林、重要湿地、风景名胜区生态保护落实情况；做好生态补偿政策的宣传。</w:t>
      </w:r>
    </w:p>
    <w:p>
      <w:pPr>
        <w:spacing w:beforeLines="0" w:afterLines="0" w:line="57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苏州市太仓生态环境局：负责拟订和监督实施全市重点区域、重点流域污染防治规划和生态保护规划，加强生态环境保护和污染治理，监督对生态环境有影响的自然资源开发利用活动、重要生态环境建设和生态破坏恢复工作。</w:t>
      </w:r>
    </w:p>
    <w:p>
      <w:pPr>
        <w:spacing w:beforeLines="0" w:afterLines="0" w:line="570" w:lineRule="exact"/>
        <w:ind w:firstLine="640" w:firstLineChars="200"/>
        <w:rPr>
          <w:rFonts w:hint="eastAsia" w:ascii="仿宋" w:hAnsi="仿宋" w:eastAsia="仿宋" w:cs="仿宋"/>
          <w:sz w:val="32"/>
          <w:szCs w:val="32"/>
          <w:lang w:eastAsia="zh-CN"/>
        </w:rPr>
      </w:pPr>
    </w:p>
    <w:p>
      <w:pPr>
        <w:spacing w:line="570" w:lineRule="exact"/>
        <w:ind w:firstLine="0" w:firstLineChars="0"/>
        <w:jc w:val="center"/>
        <w:rPr>
          <w:rFonts w:ascii="黑体" w:hAnsi="黑体" w:eastAsia="黑体" w:cs="黑体"/>
          <w:sz w:val="32"/>
          <w:szCs w:val="32"/>
        </w:rPr>
      </w:pPr>
      <w:r>
        <w:rPr>
          <w:rFonts w:hint="eastAsia" w:ascii="黑体" w:hAnsi="黑体" w:eastAsia="黑体" w:cs="黑体"/>
          <w:sz w:val="32"/>
          <w:szCs w:val="32"/>
        </w:rPr>
        <w:t>第三章  生态补偿资金的申报、审核和公示</w:t>
      </w:r>
    </w:p>
    <w:p>
      <w:pPr>
        <w:spacing w:line="570" w:lineRule="exact"/>
        <w:ind w:firstLine="640" w:firstLineChars="200"/>
        <w:rPr>
          <w:rFonts w:ascii="仿宋" w:hAnsi="仿宋" w:eastAsia="仿宋" w:cs="仿宋"/>
          <w:kern w:val="0"/>
          <w:sz w:val="32"/>
          <w:szCs w:val="32"/>
        </w:rPr>
      </w:pPr>
      <w:r>
        <w:rPr>
          <w:rFonts w:hint="eastAsia" w:ascii="楷体" w:hAnsi="楷体" w:eastAsia="楷体" w:cs="楷体"/>
          <w:color w:val="000000"/>
          <w:kern w:val="0"/>
          <w:sz w:val="32"/>
          <w:szCs w:val="32"/>
        </w:rPr>
        <w:t>第六条</w:t>
      </w:r>
      <w:r>
        <w:rPr>
          <w:rFonts w:hint="eastAsia" w:ascii="仿宋" w:hAnsi="仿宋" w:eastAsia="仿宋" w:cs="仿宋"/>
          <w:kern w:val="0"/>
          <w:sz w:val="32"/>
          <w:szCs w:val="32"/>
        </w:rPr>
        <w:t>  生态补偿资金根据市政府确定的范围和标准实施，实行分类申报、逐级审核的制度。</w:t>
      </w:r>
    </w:p>
    <w:p>
      <w:pPr>
        <w:spacing w:line="570" w:lineRule="exact"/>
        <w:ind w:firstLine="640" w:firstLineChars="0"/>
        <w:rPr>
          <w:rFonts w:hint="eastAsia" w:ascii="仿宋" w:hAnsi="仿宋" w:eastAsia="仿宋" w:cs="仿宋"/>
          <w:kern w:val="0"/>
          <w:sz w:val="32"/>
          <w:szCs w:val="32"/>
        </w:rPr>
      </w:pPr>
      <w:r>
        <w:rPr>
          <w:rFonts w:hint="eastAsia" w:ascii="仿宋" w:hAnsi="仿宋" w:eastAsia="仿宋" w:cs="仿宋"/>
          <w:kern w:val="0"/>
          <w:sz w:val="32"/>
          <w:szCs w:val="32"/>
        </w:rPr>
        <w:t>（一）申报。水稻田、重要湿地</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水源地生态补偿资金，由村（居）民委员会向</w:t>
      </w:r>
      <w:r>
        <w:rPr>
          <w:rFonts w:hint="eastAsia" w:ascii="仿宋" w:hAnsi="仿宋" w:eastAsia="仿宋" w:cs="仿宋"/>
          <w:kern w:val="0"/>
          <w:sz w:val="32"/>
          <w:szCs w:val="32"/>
          <w:lang w:eastAsia="zh-CN"/>
        </w:rPr>
        <w:t>镇级财政部门</w:t>
      </w:r>
      <w:r>
        <w:rPr>
          <w:rFonts w:hint="eastAsia" w:ascii="仿宋" w:hAnsi="仿宋" w:eastAsia="仿宋" w:cs="仿宋"/>
          <w:kern w:val="0"/>
          <w:sz w:val="32"/>
          <w:szCs w:val="32"/>
        </w:rPr>
        <w:t>申报。生态公益林、风景名胜区生态补偿资金由镇</w:t>
      </w:r>
      <w:r>
        <w:rPr>
          <w:rFonts w:hint="eastAsia" w:ascii="仿宋" w:hAnsi="仿宋" w:eastAsia="仿宋" w:cs="仿宋"/>
          <w:kern w:val="0"/>
          <w:sz w:val="32"/>
          <w:szCs w:val="32"/>
          <w:lang w:eastAsia="zh-CN"/>
        </w:rPr>
        <w:t>级</w:t>
      </w:r>
      <w:r>
        <w:rPr>
          <w:rFonts w:hint="eastAsia" w:ascii="仿宋" w:hAnsi="仿宋" w:eastAsia="仿宋" w:cs="仿宋"/>
          <w:kern w:val="0"/>
          <w:sz w:val="32"/>
          <w:szCs w:val="32"/>
        </w:rPr>
        <w:t>向</w:t>
      </w:r>
      <w:r>
        <w:rPr>
          <w:rFonts w:hint="eastAsia" w:ascii="仿宋" w:hAnsi="仿宋" w:eastAsia="仿宋" w:cs="仿宋"/>
          <w:kern w:val="0"/>
          <w:sz w:val="32"/>
          <w:szCs w:val="32"/>
          <w:lang w:eastAsia="zh-CN"/>
        </w:rPr>
        <w:t>市</w:t>
      </w:r>
      <w:r>
        <w:rPr>
          <w:rFonts w:hint="eastAsia" w:ascii="仿宋" w:hAnsi="仿宋" w:eastAsia="仿宋" w:cs="仿宋"/>
          <w:kern w:val="0"/>
          <w:sz w:val="32"/>
          <w:szCs w:val="32"/>
        </w:rPr>
        <w:t>财政</w:t>
      </w:r>
      <w:r>
        <w:rPr>
          <w:rFonts w:hint="eastAsia" w:ascii="仿宋" w:hAnsi="仿宋" w:eastAsia="仿宋" w:cs="仿宋"/>
          <w:kern w:val="0"/>
          <w:sz w:val="32"/>
          <w:szCs w:val="32"/>
          <w:lang w:eastAsia="zh-CN"/>
        </w:rPr>
        <w:t>局</w:t>
      </w:r>
      <w:r>
        <w:rPr>
          <w:rFonts w:hint="eastAsia" w:ascii="仿宋" w:hAnsi="仿宋" w:eastAsia="仿宋" w:cs="仿宋"/>
          <w:kern w:val="0"/>
          <w:sz w:val="32"/>
          <w:szCs w:val="32"/>
        </w:rPr>
        <w:t>申报。</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其他组织符合生态补偿资金申报条件的，</w:t>
      </w:r>
      <w:r>
        <w:rPr>
          <w:rFonts w:hint="eastAsia" w:ascii="仿宋" w:hAnsi="仿宋" w:eastAsia="仿宋" w:cs="仿宋"/>
          <w:kern w:val="0"/>
          <w:sz w:val="32"/>
          <w:szCs w:val="32"/>
          <w:lang w:eastAsia="zh-CN"/>
        </w:rPr>
        <w:t>可以在规定时间直接向市财政局申报</w:t>
      </w:r>
      <w:r>
        <w:rPr>
          <w:rFonts w:hint="eastAsia" w:ascii="仿宋" w:hAnsi="仿宋" w:eastAsia="仿宋" w:cs="仿宋"/>
          <w:kern w:val="0"/>
          <w:sz w:val="32"/>
          <w:szCs w:val="32"/>
        </w:rPr>
        <w:t>。</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（二）</w:t>
      </w:r>
      <w:r>
        <w:rPr>
          <w:rFonts w:hint="eastAsia" w:ascii="仿宋" w:hAnsi="仿宋" w:eastAsia="仿宋" w:cs="仿宋"/>
          <w:kern w:val="0"/>
          <w:sz w:val="32"/>
          <w:szCs w:val="32"/>
          <w:lang w:val="en-US" w:eastAsia="zh-CN"/>
        </w:rPr>
        <w:t>初审</w:t>
      </w:r>
      <w:r>
        <w:rPr>
          <w:rFonts w:hint="eastAsia" w:ascii="仿宋" w:hAnsi="仿宋" w:eastAsia="仿宋" w:cs="仿宋"/>
          <w:kern w:val="0"/>
          <w:sz w:val="32"/>
          <w:szCs w:val="32"/>
        </w:rPr>
        <w:t>。镇级</w:t>
      </w:r>
      <w:r>
        <w:rPr>
          <w:rFonts w:hint="eastAsia" w:ascii="仿宋" w:hAnsi="仿宋" w:eastAsia="仿宋" w:cs="仿宋"/>
          <w:kern w:val="0"/>
          <w:sz w:val="32"/>
          <w:szCs w:val="32"/>
          <w:lang w:eastAsia="zh-CN"/>
        </w:rPr>
        <w:t>财政会同镇相关部门</w:t>
      </w:r>
      <w:r>
        <w:rPr>
          <w:rFonts w:hint="eastAsia" w:ascii="仿宋" w:hAnsi="仿宋" w:eastAsia="仿宋" w:cs="仿宋"/>
          <w:kern w:val="0"/>
          <w:sz w:val="32"/>
          <w:szCs w:val="32"/>
        </w:rPr>
        <w:t>对各村（居）民委员会的申报材料进行</w:t>
      </w:r>
      <w:r>
        <w:rPr>
          <w:rFonts w:hint="eastAsia" w:ascii="仿宋" w:hAnsi="仿宋" w:eastAsia="仿宋" w:cs="仿宋"/>
          <w:kern w:val="0"/>
          <w:sz w:val="32"/>
          <w:szCs w:val="32"/>
          <w:lang w:eastAsia="zh-CN"/>
        </w:rPr>
        <w:t>初审</w:t>
      </w:r>
      <w:r>
        <w:rPr>
          <w:rFonts w:hint="eastAsia" w:ascii="仿宋" w:hAnsi="仿宋" w:eastAsia="仿宋" w:cs="仿宋"/>
          <w:kern w:val="0"/>
          <w:sz w:val="32"/>
          <w:szCs w:val="32"/>
        </w:rPr>
        <w:t>、汇总并报镇（街道）审定。</w:t>
      </w:r>
    </w:p>
    <w:p>
      <w:pPr>
        <w:spacing w:line="570" w:lineRule="exact"/>
        <w:ind w:firstLine="0" w:firstLineChars="0"/>
        <w:rPr>
          <w:rFonts w:ascii="仿宋" w:hAnsi="仿宋" w:eastAsia="仿宋" w:cs="仿宋"/>
          <w:kern w:val="0"/>
          <w:sz w:val="32"/>
          <w:szCs w:val="32"/>
        </w:rPr>
      </w:pPr>
      <w:r>
        <w:rPr>
          <w:rFonts w:hint="eastAsia" w:ascii="仿宋" w:hAnsi="仿宋" w:eastAsia="仿宋" w:cs="仿宋"/>
          <w:kern w:val="0"/>
          <w:sz w:val="32"/>
          <w:szCs w:val="32"/>
        </w:rPr>
        <w:t xml:space="preserve">    （三）核定。市财政局会同</w:t>
      </w:r>
      <w:r>
        <w:rPr>
          <w:rFonts w:hint="eastAsia" w:ascii="仿宋" w:hAnsi="仿宋" w:eastAsia="仿宋" w:cs="仿宋"/>
          <w:kern w:val="0"/>
          <w:sz w:val="32"/>
          <w:szCs w:val="32"/>
          <w:lang w:eastAsia="zh-CN"/>
        </w:rPr>
        <w:t>市相关</w:t>
      </w:r>
      <w:r>
        <w:rPr>
          <w:rFonts w:hint="eastAsia" w:ascii="仿宋" w:hAnsi="仿宋" w:eastAsia="仿宋" w:cs="仿宋"/>
          <w:kern w:val="0"/>
          <w:sz w:val="32"/>
          <w:szCs w:val="32"/>
        </w:rPr>
        <w:t>部门，对</w:t>
      </w:r>
      <w:r>
        <w:rPr>
          <w:rFonts w:hint="eastAsia" w:ascii="仿宋" w:hAnsi="仿宋" w:eastAsia="仿宋" w:cs="仿宋"/>
          <w:kern w:val="0"/>
          <w:sz w:val="32"/>
          <w:szCs w:val="32"/>
          <w:lang w:eastAsia="zh-CN"/>
        </w:rPr>
        <w:t>镇级初审</w:t>
      </w:r>
      <w:r>
        <w:rPr>
          <w:rFonts w:hint="eastAsia" w:ascii="仿宋" w:hAnsi="仿宋" w:eastAsia="仿宋" w:cs="仿宋"/>
          <w:kern w:val="0"/>
          <w:sz w:val="32"/>
          <w:szCs w:val="32"/>
        </w:rPr>
        <w:t>的申报材料进行</w:t>
      </w:r>
      <w:r>
        <w:rPr>
          <w:rFonts w:hint="eastAsia" w:ascii="仿宋" w:hAnsi="仿宋" w:eastAsia="仿宋" w:cs="仿宋"/>
          <w:kern w:val="0"/>
          <w:sz w:val="32"/>
          <w:szCs w:val="32"/>
          <w:lang w:eastAsia="zh-CN"/>
        </w:rPr>
        <w:t>审核</w:t>
      </w:r>
      <w:r>
        <w:rPr>
          <w:rFonts w:hint="eastAsia" w:ascii="仿宋" w:hAnsi="仿宋" w:eastAsia="仿宋" w:cs="仿宋"/>
          <w:kern w:val="0"/>
          <w:sz w:val="32"/>
          <w:szCs w:val="32"/>
        </w:rPr>
        <w:t>、汇总，核定当年度应拨付的生态补偿资金。</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楷体" w:hAnsi="楷体" w:eastAsia="楷体" w:cs="楷体"/>
          <w:color w:val="000000"/>
          <w:kern w:val="0"/>
          <w:sz w:val="32"/>
          <w:szCs w:val="32"/>
        </w:rPr>
        <w:t>第七条</w:t>
      </w:r>
      <w:r>
        <w:rPr>
          <w:rFonts w:hint="eastAsia" w:ascii="仿宋" w:hAnsi="仿宋" w:eastAsia="仿宋" w:cs="仿宋"/>
          <w:kern w:val="0"/>
          <w:sz w:val="32"/>
          <w:szCs w:val="32"/>
        </w:rPr>
        <w:t xml:space="preserve"> 生态补偿资金的审核公示与方案公布。</w:t>
      </w:r>
    </w:p>
    <w:p>
      <w:pPr>
        <w:spacing w:line="570" w:lineRule="exact"/>
        <w:ind w:firstLine="640" w:firstLineChars="200"/>
        <w:rPr>
          <w:rFonts w:ascii="仿宋" w:hAnsi="仿宋" w:eastAsia="仿宋" w:cs="仿宋"/>
          <w:dstrike/>
          <w:kern w:val="0"/>
          <w:sz w:val="32"/>
          <w:szCs w:val="32"/>
        </w:rPr>
      </w:pPr>
      <w:r>
        <w:rPr>
          <w:rFonts w:hint="eastAsia" w:ascii="仿宋" w:hAnsi="仿宋" w:eastAsia="仿宋" w:cs="仿宋"/>
          <w:kern w:val="0"/>
          <w:sz w:val="32"/>
          <w:szCs w:val="32"/>
        </w:rPr>
        <w:t>（一）审核结果公示。</w:t>
      </w:r>
      <w:r>
        <w:rPr>
          <w:rFonts w:hint="eastAsia" w:ascii="仿宋" w:hAnsi="仿宋" w:eastAsia="仿宋" w:cs="仿宋"/>
          <w:kern w:val="0"/>
          <w:sz w:val="32"/>
          <w:szCs w:val="32"/>
          <w:lang w:eastAsia="zh-CN"/>
        </w:rPr>
        <w:t>市</w:t>
      </w:r>
      <w:r>
        <w:rPr>
          <w:rFonts w:hint="eastAsia" w:ascii="仿宋" w:hAnsi="仿宋" w:eastAsia="仿宋" w:cs="仿宋"/>
          <w:kern w:val="0"/>
          <w:sz w:val="32"/>
          <w:szCs w:val="32"/>
        </w:rPr>
        <w:t>财政</w:t>
      </w:r>
      <w:r>
        <w:rPr>
          <w:rFonts w:hint="eastAsia" w:ascii="仿宋" w:hAnsi="仿宋" w:eastAsia="仿宋" w:cs="仿宋"/>
          <w:kern w:val="0"/>
          <w:sz w:val="32"/>
          <w:szCs w:val="32"/>
          <w:lang w:eastAsia="zh-CN"/>
        </w:rPr>
        <w:t>局</w:t>
      </w:r>
      <w:r>
        <w:rPr>
          <w:rFonts w:hint="eastAsia" w:ascii="仿宋" w:hAnsi="仿宋" w:eastAsia="仿宋" w:cs="仿宋"/>
          <w:kern w:val="0"/>
          <w:sz w:val="32"/>
          <w:szCs w:val="32"/>
        </w:rPr>
        <w:t>将生态补偿资金审核结果在政务网上公示。</w:t>
      </w:r>
      <w:r>
        <w:rPr>
          <w:rFonts w:hint="eastAsia" w:ascii="仿宋" w:hAnsi="仿宋" w:eastAsia="仿宋" w:cs="仿宋"/>
          <w:kern w:val="0"/>
          <w:sz w:val="32"/>
          <w:szCs w:val="32"/>
          <w:lang w:eastAsia="zh-CN"/>
        </w:rPr>
        <w:t>市</w:t>
      </w:r>
      <w:r>
        <w:rPr>
          <w:rFonts w:hint="eastAsia" w:ascii="仿宋" w:hAnsi="仿宋" w:eastAsia="仿宋" w:cs="仿宋"/>
          <w:kern w:val="0"/>
          <w:sz w:val="32"/>
          <w:szCs w:val="32"/>
        </w:rPr>
        <w:t>财政</w:t>
      </w:r>
      <w:r>
        <w:rPr>
          <w:rFonts w:hint="eastAsia" w:ascii="仿宋" w:hAnsi="仿宋" w:eastAsia="仿宋" w:cs="仿宋"/>
          <w:kern w:val="0"/>
          <w:sz w:val="32"/>
          <w:szCs w:val="32"/>
          <w:lang w:eastAsia="zh-CN"/>
        </w:rPr>
        <w:t>局</w:t>
      </w:r>
      <w:r>
        <w:rPr>
          <w:rFonts w:hint="eastAsia" w:ascii="仿宋" w:hAnsi="仿宋" w:eastAsia="仿宋" w:cs="仿宋"/>
          <w:kern w:val="0"/>
          <w:sz w:val="32"/>
          <w:szCs w:val="32"/>
        </w:rPr>
        <w:t>公示各镇（街道）接受生态补偿资金汇总数，其中镇（街道）接受生态公益林和风景名胜区生态补偿资金的要单列。镇级财政在补偿范围涉及的镇（街道）、村（居）民委员会所在地公示栏将各村接受生态补偿资金的明细情况进行公示，公示时间不少于15日。</w:t>
      </w:r>
    </w:p>
    <w:p>
      <w:pPr>
        <w:spacing w:line="57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（二）分配方案公布。经公示无异议后，市财政局将生态补偿资金分配方案在政务网上公布，并将生态补偿资金分配方案告知</w:t>
      </w:r>
      <w:r>
        <w:rPr>
          <w:rFonts w:hint="eastAsia" w:ascii="仿宋" w:hAnsi="仿宋" w:eastAsia="仿宋" w:cs="仿宋"/>
          <w:kern w:val="0"/>
          <w:sz w:val="32"/>
          <w:szCs w:val="32"/>
          <w:lang w:eastAsia="zh-CN"/>
        </w:rPr>
        <w:t>镇级</w:t>
      </w:r>
      <w:r>
        <w:rPr>
          <w:rFonts w:hint="eastAsia" w:ascii="仿宋" w:hAnsi="仿宋" w:eastAsia="仿宋" w:cs="仿宋"/>
          <w:kern w:val="0"/>
          <w:sz w:val="32"/>
          <w:szCs w:val="32"/>
        </w:rPr>
        <w:t>财政，再由镇级财政在补偿范围涉及的镇（街道）、村（居）民委员会所在地公示栏公布。</w:t>
      </w:r>
    </w:p>
    <w:p>
      <w:pPr>
        <w:spacing w:line="570" w:lineRule="exact"/>
        <w:ind w:firstLine="640" w:firstLineChars="200"/>
        <w:rPr>
          <w:rFonts w:ascii="黑体" w:hAnsi="黑体" w:eastAsia="黑体" w:cs="黑体"/>
          <w:kern w:val="0"/>
          <w:sz w:val="32"/>
          <w:szCs w:val="32"/>
        </w:rPr>
      </w:pP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黑体" w:hAnsi="黑体" w:eastAsia="黑体" w:cs="黑体"/>
          <w:kern w:val="0"/>
          <w:sz w:val="32"/>
          <w:szCs w:val="32"/>
        </w:rPr>
        <w:t xml:space="preserve"> 第四章 生态补偿资金的拨付、使用</w:t>
      </w:r>
    </w:p>
    <w:p>
      <w:pPr>
        <w:spacing w:line="570" w:lineRule="exact"/>
        <w:ind w:firstLine="640" w:firstLineChars="200"/>
        <w:rPr>
          <w:rFonts w:ascii="仿宋" w:hAnsi="仿宋" w:eastAsia="仿宋" w:cs="仿宋"/>
          <w:kern w:val="0"/>
          <w:sz w:val="32"/>
          <w:szCs w:val="32"/>
        </w:rPr>
      </w:pPr>
      <w:r>
        <w:rPr>
          <w:rFonts w:hint="eastAsia" w:ascii="楷体" w:hAnsi="楷体" w:eastAsia="楷体" w:cs="楷体"/>
          <w:color w:val="000000"/>
          <w:kern w:val="0"/>
          <w:sz w:val="32"/>
          <w:szCs w:val="32"/>
        </w:rPr>
        <w:t>第八条</w:t>
      </w:r>
      <w:r>
        <w:rPr>
          <w:rFonts w:hint="eastAsia" w:ascii="仿宋" w:hAnsi="仿宋" w:eastAsia="仿宋" w:cs="仿宋"/>
          <w:kern w:val="0"/>
          <w:sz w:val="32"/>
          <w:szCs w:val="32"/>
        </w:rPr>
        <w:t>  镇级财政应当在生态补偿资金到账后15日内将应拨资金拨付给村（居）民委员会，不得以任何理由截留、挪用、滞留。</w:t>
      </w:r>
      <w:r>
        <w:rPr>
          <w:rFonts w:hint="eastAsia" w:ascii="仿宋" w:hAnsi="仿宋" w:eastAsia="仿宋" w:cs="仿宋"/>
          <w:kern w:val="0"/>
          <w:sz w:val="32"/>
          <w:szCs w:val="32"/>
          <w:lang w:eastAsia="zh-CN"/>
        </w:rPr>
        <w:t>其他组织的生态补偿资金，由市财政局按相关规定另行拨付。</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楷体" w:hAnsi="楷体" w:eastAsia="楷体" w:cs="楷体"/>
          <w:color w:val="000000"/>
          <w:kern w:val="0"/>
          <w:sz w:val="32"/>
          <w:szCs w:val="32"/>
        </w:rPr>
        <w:t xml:space="preserve"> 第九条</w:t>
      </w:r>
      <w:r>
        <w:rPr>
          <w:rFonts w:hint="eastAsia" w:ascii="仿宋" w:hAnsi="仿宋" w:eastAsia="仿宋" w:cs="仿宋"/>
          <w:kern w:val="0"/>
          <w:sz w:val="32"/>
          <w:szCs w:val="32"/>
        </w:rPr>
        <w:t>  生态补偿资金应当用于维护生态环境、发展生态经济、补偿集体经济组织成员等。镇（街道）应当拟定生态补偿资金使用预算，报镇（街道）人大批准后实施。在村级落实好生态保护责任的前提下，生态补偿资金可作为村级可用财力。村(居)民委员会应当拟定生态补偿资金使用方案，经村(居)民会议或者村(居)代表会议通过后实施。</w:t>
      </w:r>
    </w:p>
    <w:p>
      <w:pPr>
        <w:spacing w:line="570" w:lineRule="exact"/>
        <w:ind w:firstLine="640" w:firstLineChars="200"/>
        <w:rPr>
          <w:rFonts w:ascii="仿宋" w:hAnsi="仿宋" w:eastAsia="仿宋" w:cs="仿宋"/>
          <w:kern w:val="0"/>
          <w:sz w:val="32"/>
          <w:szCs w:val="32"/>
        </w:rPr>
      </w:pPr>
      <w:r>
        <w:rPr>
          <w:rFonts w:hint="eastAsia" w:ascii="楷体" w:hAnsi="楷体" w:eastAsia="楷体" w:cs="楷体"/>
          <w:color w:val="000000"/>
          <w:kern w:val="0"/>
          <w:sz w:val="32"/>
          <w:szCs w:val="32"/>
        </w:rPr>
        <w:t>第十条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镇级</w:t>
      </w:r>
      <w:r>
        <w:rPr>
          <w:rFonts w:hint="eastAsia" w:ascii="仿宋" w:hAnsi="仿宋" w:eastAsia="仿宋" w:cs="仿宋"/>
          <w:kern w:val="0"/>
          <w:sz w:val="32"/>
          <w:szCs w:val="32"/>
        </w:rPr>
        <w:t>财政于每年7月和次年1月起7个工作日内，将本年度上半年和上年度生态补偿资金收支情况表上报市</w:t>
      </w:r>
      <w:r>
        <w:rPr>
          <w:rFonts w:hint="eastAsia" w:ascii="仿宋" w:hAnsi="仿宋" w:eastAsia="仿宋" w:cs="仿宋"/>
          <w:kern w:val="0"/>
          <w:sz w:val="32"/>
          <w:szCs w:val="32"/>
          <w:lang w:eastAsia="zh-CN"/>
        </w:rPr>
        <w:t>财政局</w:t>
      </w:r>
      <w:r>
        <w:rPr>
          <w:rFonts w:hint="eastAsia" w:ascii="仿宋" w:hAnsi="仿宋" w:eastAsia="仿宋" w:cs="仿宋"/>
          <w:kern w:val="0"/>
          <w:sz w:val="32"/>
          <w:szCs w:val="32"/>
        </w:rPr>
        <w:t>，市财政</w:t>
      </w:r>
      <w:r>
        <w:rPr>
          <w:rFonts w:hint="eastAsia" w:ascii="仿宋" w:hAnsi="仿宋" w:eastAsia="仿宋" w:cs="仿宋"/>
          <w:kern w:val="0"/>
          <w:sz w:val="32"/>
          <w:szCs w:val="32"/>
          <w:lang w:eastAsia="zh-CN"/>
        </w:rPr>
        <w:t>局</w:t>
      </w:r>
      <w:r>
        <w:rPr>
          <w:rFonts w:hint="eastAsia" w:ascii="仿宋" w:hAnsi="仿宋" w:eastAsia="仿宋" w:cs="仿宋"/>
          <w:kern w:val="0"/>
          <w:sz w:val="32"/>
          <w:szCs w:val="32"/>
        </w:rPr>
        <w:t>予以通报。镇（街道）和其他组织应当按照要求，及时报告生态补偿资金的使用情况。</w:t>
      </w:r>
    </w:p>
    <w:p>
      <w:pPr>
        <w:spacing w:line="570" w:lineRule="exact"/>
        <w:ind w:firstLine="640" w:firstLineChars="200"/>
        <w:rPr>
          <w:rFonts w:ascii="仿宋" w:hAnsi="仿宋" w:eastAsia="仿宋" w:cs="仿宋"/>
          <w:kern w:val="0"/>
          <w:sz w:val="32"/>
          <w:szCs w:val="32"/>
        </w:rPr>
      </w:pPr>
      <w:r>
        <w:rPr>
          <w:rFonts w:hint="eastAsia" w:ascii="楷体" w:hAnsi="楷体" w:eastAsia="楷体" w:cs="楷体"/>
          <w:color w:val="000000"/>
          <w:kern w:val="0"/>
          <w:sz w:val="32"/>
          <w:szCs w:val="32"/>
        </w:rPr>
        <w:t xml:space="preserve">第十一条 </w:t>
      </w:r>
      <w:r>
        <w:rPr>
          <w:rFonts w:hint="eastAsia" w:ascii="仿宋" w:hAnsi="仿宋" w:eastAsia="仿宋" w:cs="仿宋"/>
          <w:kern w:val="0"/>
          <w:sz w:val="32"/>
          <w:szCs w:val="32"/>
        </w:rPr>
        <w:t xml:space="preserve">生态补偿资金会计核算规范。村集体组织收到生态补偿资金，应在“补助收入”科目下设立“生态补偿款”明细科目，以专项核算生态补偿资金的拨入情况。按开支科目分别设置“生态补偿支出”明细科目进行明细核算。 </w:t>
      </w:r>
    </w:p>
    <w:p>
      <w:pPr>
        <w:spacing w:line="570" w:lineRule="exact"/>
        <w:ind w:firstLine="640" w:firstLineChars="200"/>
        <w:rPr>
          <w:rFonts w:ascii="仿宋" w:hAnsi="仿宋" w:eastAsia="仿宋" w:cs="仿宋"/>
          <w:kern w:val="0"/>
          <w:sz w:val="32"/>
          <w:szCs w:val="32"/>
        </w:rPr>
      </w:pPr>
      <w:r>
        <w:rPr>
          <w:rFonts w:hint="eastAsia" w:ascii="楷体" w:hAnsi="楷体" w:eastAsia="楷体" w:cs="楷体"/>
          <w:color w:val="000000"/>
          <w:kern w:val="0"/>
          <w:sz w:val="32"/>
          <w:szCs w:val="32"/>
        </w:rPr>
        <w:t>第十二条</w:t>
      </w:r>
      <w:r>
        <w:rPr>
          <w:rFonts w:hint="eastAsia" w:ascii="仿宋" w:hAnsi="仿宋" w:eastAsia="仿宋" w:cs="仿宋"/>
          <w:color w:val="FF0000"/>
          <w:kern w:val="0"/>
          <w:sz w:val="32"/>
          <w:szCs w:val="32"/>
        </w:rPr>
        <w:t xml:space="preserve"> </w:t>
      </w:r>
      <w:r>
        <w:rPr>
          <w:rFonts w:hint="eastAsia" w:ascii="仿宋" w:hAnsi="仿宋" w:eastAsia="仿宋" w:cs="仿宋"/>
          <w:color w:val="auto"/>
          <w:kern w:val="0"/>
          <w:sz w:val="32"/>
          <w:szCs w:val="32"/>
        </w:rPr>
        <w:t>根据《实施第四轮生态补偿政策意见》对生态补偿政策创新给予的一次性奖励资金的使用，</w:t>
      </w:r>
      <w:r>
        <w:rPr>
          <w:rFonts w:hint="eastAsia" w:ascii="仿宋" w:hAnsi="仿宋" w:eastAsia="仿宋" w:cs="仿宋"/>
          <w:kern w:val="0"/>
          <w:sz w:val="32"/>
          <w:szCs w:val="32"/>
        </w:rPr>
        <w:t>参照本办法第九条执行。</w:t>
      </w:r>
    </w:p>
    <w:p>
      <w:pPr>
        <w:spacing w:line="570" w:lineRule="exact"/>
        <w:ind w:firstLine="640" w:firstLineChars="200"/>
        <w:rPr>
          <w:rFonts w:hint="eastAsia" w:ascii="仿宋" w:hAnsi="仿宋" w:eastAsia="仿宋" w:cs="仿宋"/>
          <w:kern w:val="0"/>
          <w:sz w:val="32"/>
          <w:szCs w:val="32"/>
        </w:rPr>
      </w:pPr>
      <w:r>
        <w:rPr>
          <w:rFonts w:hint="eastAsia" w:ascii="楷体" w:hAnsi="楷体" w:eastAsia="楷体" w:cs="楷体"/>
          <w:color w:val="000000"/>
          <w:kern w:val="0"/>
          <w:sz w:val="32"/>
          <w:szCs w:val="32"/>
        </w:rPr>
        <w:t>第十三条</w:t>
      </w:r>
      <w:r>
        <w:rPr>
          <w:rFonts w:hint="eastAsia" w:ascii="仿宋" w:hAnsi="仿宋" w:eastAsia="仿宋" w:cs="仿宋"/>
          <w:kern w:val="0"/>
          <w:sz w:val="32"/>
          <w:szCs w:val="32"/>
        </w:rPr>
        <w:t xml:space="preserve"> 生态补偿资金使用过程中涉及政府采购、工程招投标的，按照政府采购和招投标管理的法律法规执行。</w:t>
      </w:r>
    </w:p>
    <w:p>
      <w:pPr>
        <w:spacing w:line="570" w:lineRule="exact"/>
        <w:ind w:firstLine="640" w:firstLineChars="200"/>
        <w:rPr>
          <w:rFonts w:ascii="黑体" w:hAnsi="黑体" w:eastAsia="黑体" w:cs="黑体"/>
          <w:kern w:val="0"/>
          <w:sz w:val="32"/>
          <w:szCs w:val="32"/>
        </w:rPr>
      </w:pP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黑体" w:hAnsi="黑体" w:eastAsia="黑体" w:cs="黑体"/>
          <w:kern w:val="0"/>
          <w:sz w:val="32"/>
          <w:szCs w:val="32"/>
        </w:rPr>
        <w:t xml:space="preserve">    第五章  绩效</w:t>
      </w:r>
      <w:r>
        <w:rPr>
          <w:rFonts w:hint="eastAsia" w:ascii="黑体" w:hAnsi="黑体" w:eastAsia="黑体" w:cs="黑体"/>
          <w:kern w:val="0"/>
          <w:sz w:val="32"/>
          <w:szCs w:val="32"/>
          <w:lang w:eastAsia="zh-CN"/>
        </w:rPr>
        <w:t>管理</w:t>
      </w:r>
      <w:r>
        <w:rPr>
          <w:rFonts w:hint="eastAsia" w:ascii="黑体" w:hAnsi="黑体" w:eastAsia="黑体" w:cs="黑体"/>
          <w:kern w:val="0"/>
          <w:sz w:val="32"/>
          <w:szCs w:val="32"/>
        </w:rPr>
        <w:t>和监督检查</w:t>
      </w:r>
    </w:p>
    <w:p>
      <w:pPr>
        <w:spacing w:line="570" w:lineRule="exact"/>
        <w:ind w:firstLine="640" w:firstLineChars="200"/>
        <w:rPr>
          <w:rFonts w:hint="eastAsia" w:ascii="仿宋" w:hAnsi="仿宋" w:eastAsia="仿宋" w:cs="仿宋"/>
          <w:kern w:val="0"/>
          <w:sz w:val="32"/>
          <w:szCs w:val="32"/>
          <w:lang w:eastAsia="zh-CN"/>
        </w:rPr>
      </w:pPr>
      <w:r>
        <w:rPr>
          <w:rFonts w:hint="eastAsia" w:ascii="楷体" w:hAnsi="楷体" w:eastAsia="楷体" w:cs="楷体"/>
          <w:color w:val="000000"/>
          <w:kern w:val="0"/>
          <w:sz w:val="32"/>
          <w:szCs w:val="32"/>
        </w:rPr>
        <w:t>第十四条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市财政局</w:t>
      </w:r>
      <w:r>
        <w:rPr>
          <w:rFonts w:hint="eastAsia" w:ascii="仿宋" w:hAnsi="仿宋" w:eastAsia="仿宋" w:cs="仿宋"/>
          <w:kern w:val="0"/>
          <w:sz w:val="32"/>
          <w:szCs w:val="32"/>
        </w:rPr>
        <w:t>应建立生态补偿资金预算绩效管理机制，组织开展全过程预算绩效管理，必要时可委托第三方机构开展绩效重点评价，评价结果上报</w:t>
      </w:r>
      <w:r>
        <w:rPr>
          <w:rFonts w:hint="eastAsia" w:ascii="仿宋" w:hAnsi="仿宋" w:eastAsia="仿宋" w:cs="仿宋"/>
          <w:kern w:val="0"/>
          <w:sz w:val="32"/>
          <w:szCs w:val="32"/>
          <w:lang w:eastAsia="zh-CN"/>
        </w:rPr>
        <w:t>地方</w:t>
      </w:r>
      <w:r>
        <w:rPr>
          <w:rFonts w:hint="eastAsia" w:ascii="仿宋" w:hAnsi="仿宋" w:eastAsia="仿宋" w:cs="仿宋"/>
          <w:kern w:val="0"/>
          <w:sz w:val="32"/>
          <w:szCs w:val="32"/>
        </w:rPr>
        <w:t>人大和政府。 </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楷体" w:hAnsi="楷体" w:eastAsia="楷体" w:cs="楷体"/>
          <w:color w:val="000000"/>
          <w:kern w:val="0"/>
          <w:sz w:val="32"/>
          <w:szCs w:val="32"/>
        </w:rPr>
        <w:t>第十五条</w:t>
      </w:r>
      <w:r>
        <w:rPr>
          <w:rFonts w:hint="eastAsia" w:ascii="仿宋" w:hAnsi="仿宋" w:eastAsia="仿宋" w:cs="仿宋"/>
          <w:kern w:val="0"/>
          <w:sz w:val="32"/>
          <w:szCs w:val="32"/>
        </w:rPr>
        <w:t xml:space="preserve"> 各级财政部门依据相关法规，负责对本行政区内生态补偿资金使用情况的检查和监督。</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对未落实好生态保护责任及在规定期限内未达到整改要求的，</w:t>
      </w:r>
      <w:r>
        <w:rPr>
          <w:rFonts w:hint="eastAsia" w:ascii="仿宋" w:hAnsi="仿宋" w:eastAsia="仿宋" w:cs="仿宋"/>
          <w:kern w:val="0"/>
          <w:sz w:val="32"/>
          <w:szCs w:val="32"/>
          <w:lang w:eastAsia="zh-CN"/>
        </w:rPr>
        <w:t>市财政局</w:t>
      </w:r>
      <w:r>
        <w:rPr>
          <w:rFonts w:hint="eastAsia" w:ascii="仿宋" w:hAnsi="仿宋" w:eastAsia="仿宋" w:cs="仿宋"/>
          <w:kern w:val="0"/>
          <w:sz w:val="32"/>
          <w:szCs w:val="32"/>
        </w:rPr>
        <w:t>应当根据市相关部门出具的整改通知书和书面告知情况，决定缓拨、减拨、停拨或者追回生态补偿资金。</w:t>
      </w:r>
      <w:r>
        <w:rPr>
          <w:rFonts w:hint="eastAsia" w:ascii="仿宋" w:hAnsi="仿宋" w:eastAsia="仿宋" w:cs="仿宋"/>
          <w:kern w:val="0"/>
          <w:sz w:val="32"/>
          <w:szCs w:val="32"/>
          <w:lang w:eastAsia="zh-CN"/>
        </w:rPr>
        <w:t>生态补偿对象因破坏生态环境受到有关部门处罚的，两年内不得获得生态补偿资金。</w:t>
      </w:r>
    </w:p>
    <w:p>
      <w:pPr>
        <w:spacing w:line="57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对违反规定使用、骗取财政资金的行为，责令改正，追回有关财政资金，并按照《中华人民共和国预算法》《财政违法行为处罚处分条例》《江苏省财政监督条例》等予以处理和处罚。</w:t>
      </w:r>
    </w:p>
    <w:p>
      <w:pPr>
        <w:spacing w:line="570" w:lineRule="exact"/>
        <w:ind w:firstLine="640" w:firstLineChars="200"/>
        <w:rPr>
          <w:rFonts w:ascii="黑体" w:hAnsi="黑体" w:eastAsia="黑体" w:cs="黑体"/>
          <w:kern w:val="0"/>
          <w:sz w:val="32"/>
          <w:szCs w:val="32"/>
        </w:rPr>
      </w:pPr>
      <w:bookmarkStart w:id="0" w:name="_GoBack"/>
      <w:bookmarkEnd w:id="0"/>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黑体" w:hAnsi="黑体" w:eastAsia="黑体" w:cs="黑体"/>
          <w:kern w:val="0"/>
          <w:sz w:val="32"/>
          <w:szCs w:val="32"/>
        </w:rPr>
        <w:t>第六章 附则</w:t>
      </w:r>
    </w:p>
    <w:p>
      <w:pPr>
        <w:spacing w:line="570" w:lineRule="exact"/>
        <w:ind w:firstLine="640" w:firstLineChars="200"/>
        <w:rPr>
          <w:rFonts w:ascii="仿宋" w:hAnsi="仿宋" w:eastAsia="仿宋" w:cs="仿宋"/>
          <w:color w:val="auto"/>
          <w:kern w:val="0"/>
          <w:sz w:val="32"/>
          <w:szCs w:val="32"/>
        </w:rPr>
      </w:pPr>
      <w:r>
        <w:rPr>
          <w:rFonts w:hint="eastAsia" w:ascii="楷体" w:hAnsi="楷体" w:eastAsia="楷体" w:cs="楷体"/>
          <w:color w:val="000000"/>
          <w:kern w:val="0"/>
          <w:sz w:val="32"/>
          <w:szCs w:val="32"/>
        </w:rPr>
        <w:t>第十六条</w:t>
      </w:r>
      <w:r>
        <w:rPr>
          <w:rFonts w:hint="eastAsia" w:ascii="仿宋" w:hAnsi="仿宋" w:eastAsia="仿宋" w:cs="仿宋"/>
          <w:kern w:val="0"/>
          <w:sz w:val="32"/>
          <w:szCs w:val="32"/>
        </w:rPr>
        <w:t xml:space="preserve"> </w:t>
      </w:r>
      <w:r>
        <w:rPr>
          <w:rFonts w:hint="eastAsia" w:ascii="仿宋" w:hAnsi="仿宋" w:eastAsia="仿宋" w:cs="仿宋"/>
          <w:color w:val="auto"/>
          <w:kern w:val="0"/>
          <w:sz w:val="32"/>
          <w:szCs w:val="32"/>
        </w:rPr>
        <w:t>本办法所称的“镇级财政”包括生态补偿范围内各乡镇（街道）财政和开发区财政。</w:t>
      </w:r>
    </w:p>
    <w:p>
      <w:pPr>
        <w:spacing w:line="570" w:lineRule="exact"/>
        <w:ind w:firstLine="640" w:firstLineChars="200"/>
        <w:rPr>
          <w:rFonts w:ascii="仿宋" w:hAnsi="仿宋" w:eastAsia="仿宋" w:cs="仿宋"/>
          <w:sz w:val="32"/>
          <w:szCs w:val="32"/>
        </w:rPr>
      </w:pPr>
      <w:r>
        <w:rPr>
          <w:rFonts w:hint="eastAsia" w:ascii="楷体" w:hAnsi="楷体" w:eastAsia="楷体" w:cs="楷体"/>
          <w:color w:val="000000"/>
          <w:kern w:val="0"/>
          <w:sz w:val="32"/>
          <w:szCs w:val="32"/>
        </w:rPr>
        <w:t>第十七条 </w:t>
      </w:r>
      <w:r>
        <w:rPr>
          <w:rFonts w:hint="eastAsia" w:ascii="仿宋" w:hAnsi="仿宋" w:eastAsia="仿宋" w:cs="仿宋"/>
          <w:kern w:val="0"/>
          <w:sz w:val="32"/>
          <w:szCs w:val="32"/>
        </w:rPr>
        <w:t xml:space="preserve"> 本办法由市财政局会同市农业、水务、生态环境、林业等主管部门负责解释。</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楷体" w:hAnsi="楷体" w:eastAsia="楷体" w:cs="楷体"/>
          <w:color w:val="000000"/>
          <w:kern w:val="0"/>
          <w:sz w:val="32"/>
          <w:szCs w:val="32"/>
        </w:rPr>
        <w:t>第十</w:t>
      </w:r>
      <w:r>
        <w:rPr>
          <w:rFonts w:hint="eastAsia" w:ascii="楷体" w:hAnsi="楷体" w:eastAsia="楷体" w:cs="楷体"/>
          <w:color w:val="000000"/>
          <w:kern w:val="0"/>
          <w:sz w:val="32"/>
          <w:szCs w:val="32"/>
          <w:lang w:eastAsia="zh-CN"/>
        </w:rPr>
        <w:t>八</w:t>
      </w:r>
      <w:r>
        <w:rPr>
          <w:rFonts w:hint="eastAsia" w:ascii="楷体" w:hAnsi="楷体" w:eastAsia="楷体" w:cs="楷体"/>
          <w:color w:val="000000"/>
          <w:kern w:val="0"/>
          <w:sz w:val="32"/>
          <w:szCs w:val="32"/>
        </w:rPr>
        <w:t>条</w:t>
      </w:r>
      <w:r>
        <w:rPr>
          <w:rFonts w:hint="eastAsia" w:ascii="仿宋" w:hAnsi="仿宋" w:eastAsia="仿宋" w:cs="仿宋"/>
          <w:kern w:val="0"/>
          <w:sz w:val="32"/>
          <w:szCs w:val="32"/>
        </w:rPr>
        <w:t>  本办法自2020年</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日起施行</w:t>
      </w:r>
      <w:r>
        <w:rPr>
          <w:rFonts w:hint="eastAsia" w:ascii="仿宋" w:hAnsi="仿宋" w:eastAsia="仿宋" w:cs="仿宋"/>
          <w:color w:val="000000"/>
          <w:kern w:val="0"/>
          <w:sz w:val="32"/>
          <w:szCs w:val="32"/>
          <w:lang w:val="en-US" w:eastAsia="zh-CN"/>
        </w:rPr>
        <w:t>,2015年9月21日发布的《太仓市生态补偿资金管理办法（暂行）》（太政发</w:t>
      </w:r>
      <w:r>
        <w:rPr>
          <w:rFonts w:hint="eastAsia" w:ascii="仿宋" w:hAnsi="仿宋" w:eastAsia="仿宋" w:cs="仿宋"/>
          <w:color w:val="000000"/>
          <w:kern w:val="0"/>
          <w:sz w:val="32"/>
          <w:szCs w:val="32"/>
        </w:rPr>
        <w:t>〔2015〕</w:t>
      </w:r>
      <w:r>
        <w:rPr>
          <w:rFonts w:hint="eastAsia" w:ascii="仿宋" w:hAnsi="仿宋" w:eastAsia="仿宋" w:cs="仿宋"/>
          <w:color w:val="000000"/>
          <w:kern w:val="0"/>
          <w:sz w:val="32"/>
          <w:szCs w:val="32"/>
          <w:lang w:val="en-US" w:eastAsia="zh-CN"/>
        </w:rPr>
        <w:t>63号）</w:t>
      </w:r>
      <w:r>
        <w:rPr>
          <w:rFonts w:hint="eastAsia" w:ascii="仿宋" w:hAnsi="仿宋" w:eastAsia="仿宋" w:cs="仿宋"/>
          <w:kern w:val="0"/>
          <w:sz w:val="32"/>
          <w:szCs w:val="32"/>
        </w:rPr>
        <w:t>同时废止。</w:t>
      </w:r>
    </w:p>
    <w:p>
      <w:pPr>
        <w:spacing w:line="570" w:lineRule="exact"/>
        <w:ind w:firstLine="0" w:firstLineChars="0"/>
        <w:rPr>
          <w:rFonts w:ascii="仿宋" w:hAnsi="仿宋" w:eastAsia="仿宋" w:cs="仿宋"/>
          <w:sz w:val="32"/>
          <w:szCs w:val="32"/>
        </w:rPr>
      </w:pPr>
    </w:p>
    <w:p>
      <w:pPr>
        <w:spacing w:line="570" w:lineRule="exact"/>
        <w:ind w:firstLine="0" w:firstLineChars="0"/>
        <w:rPr>
          <w:rFonts w:ascii="仿宋" w:hAnsi="仿宋" w:eastAsia="仿宋" w:cs="仿宋"/>
          <w:sz w:val="32"/>
          <w:szCs w:val="32"/>
        </w:rPr>
      </w:pPr>
    </w:p>
    <w:p>
      <w:pPr>
        <w:spacing w:line="570" w:lineRule="exact"/>
        <w:ind w:firstLine="0" w:firstLineChars="0"/>
        <w:rPr>
          <w:rFonts w:ascii="仿宋" w:hAnsi="仿宋" w:eastAsia="仿宋" w:cs="仿宋"/>
          <w:sz w:val="32"/>
          <w:szCs w:val="32"/>
        </w:rPr>
      </w:pPr>
    </w:p>
    <w:p>
      <w:pPr>
        <w:spacing w:line="570" w:lineRule="exact"/>
        <w:ind w:firstLine="0" w:firstLineChars="0"/>
        <w:rPr>
          <w:rFonts w:ascii="仿宋" w:hAnsi="仿宋" w:eastAsia="仿宋" w:cs="仿宋"/>
          <w:sz w:val="32"/>
          <w:szCs w:val="32"/>
        </w:rPr>
      </w:pPr>
    </w:p>
    <w:p>
      <w:pPr>
        <w:spacing w:line="570" w:lineRule="exact"/>
        <w:ind w:firstLine="0" w:firstLineChars="0"/>
        <w:rPr>
          <w:rFonts w:ascii="仿宋" w:hAnsi="仿宋" w:eastAsia="仿宋" w:cs="仿宋"/>
          <w:sz w:val="32"/>
          <w:szCs w:val="32"/>
        </w:rPr>
      </w:pPr>
    </w:p>
    <w:p>
      <w:pPr>
        <w:spacing w:line="570" w:lineRule="exact"/>
        <w:ind w:firstLine="0" w:firstLineChars="0"/>
        <w:rPr>
          <w:rFonts w:ascii="仿宋" w:hAnsi="仿宋" w:eastAsia="仿宋" w:cs="仿宋"/>
          <w:sz w:val="32"/>
          <w:szCs w:val="32"/>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E8"/>
    <w:rsid w:val="00142C78"/>
    <w:rsid w:val="00157F92"/>
    <w:rsid w:val="003D7F7B"/>
    <w:rsid w:val="00423A97"/>
    <w:rsid w:val="00435C42"/>
    <w:rsid w:val="004B569C"/>
    <w:rsid w:val="004C3214"/>
    <w:rsid w:val="00670C1F"/>
    <w:rsid w:val="00784649"/>
    <w:rsid w:val="007F68E4"/>
    <w:rsid w:val="00806CBE"/>
    <w:rsid w:val="008309B4"/>
    <w:rsid w:val="00854607"/>
    <w:rsid w:val="00933C99"/>
    <w:rsid w:val="00977478"/>
    <w:rsid w:val="009A0F01"/>
    <w:rsid w:val="009F098C"/>
    <w:rsid w:val="00A25DC7"/>
    <w:rsid w:val="00B07D55"/>
    <w:rsid w:val="00BF2EFD"/>
    <w:rsid w:val="00D905CB"/>
    <w:rsid w:val="00DA545D"/>
    <w:rsid w:val="00DE7B99"/>
    <w:rsid w:val="00EE382C"/>
    <w:rsid w:val="00F22687"/>
    <w:rsid w:val="00FA59E8"/>
    <w:rsid w:val="021A05A7"/>
    <w:rsid w:val="0756437E"/>
    <w:rsid w:val="07712507"/>
    <w:rsid w:val="091B157F"/>
    <w:rsid w:val="0A617D22"/>
    <w:rsid w:val="0A6718CE"/>
    <w:rsid w:val="0B0125CC"/>
    <w:rsid w:val="0D986811"/>
    <w:rsid w:val="0FD27417"/>
    <w:rsid w:val="112B1F7E"/>
    <w:rsid w:val="138205C4"/>
    <w:rsid w:val="13EE4C78"/>
    <w:rsid w:val="14463F29"/>
    <w:rsid w:val="14A54A6E"/>
    <w:rsid w:val="154B2299"/>
    <w:rsid w:val="1697485F"/>
    <w:rsid w:val="17823115"/>
    <w:rsid w:val="199027D4"/>
    <w:rsid w:val="1A876564"/>
    <w:rsid w:val="1AFB03EE"/>
    <w:rsid w:val="1C283FEA"/>
    <w:rsid w:val="1EDE580E"/>
    <w:rsid w:val="201B5643"/>
    <w:rsid w:val="215305A1"/>
    <w:rsid w:val="21591334"/>
    <w:rsid w:val="219F33EB"/>
    <w:rsid w:val="23847528"/>
    <w:rsid w:val="23AF0022"/>
    <w:rsid w:val="24F76152"/>
    <w:rsid w:val="25613160"/>
    <w:rsid w:val="26EF2EC4"/>
    <w:rsid w:val="28BD5B91"/>
    <w:rsid w:val="2B5870A9"/>
    <w:rsid w:val="2C984D0D"/>
    <w:rsid w:val="2CB0615F"/>
    <w:rsid w:val="2DA15704"/>
    <w:rsid w:val="2DA21DA5"/>
    <w:rsid w:val="2E700998"/>
    <w:rsid w:val="2E72309E"/>
    <w:rsid w:val="306C5830"/>
    <w:rsid w:val="30825441"/>
    <w:rsid w:val="31173087"/>
    <w:rsid w:val="31CC3A25"/>
    <w:rsid w:val="331A0A7A"/>
    <w:rsid w:val="33984FE0"/>
    <w:rsid w:val="364D1133"/>
    <w:rsid w:val="36786151"/>
    <w:rsid w:val="369C3779"/>
    <w:rsid w:val="38C46F2B"/>
    <w:rsid w:val="397F42AF"/>
    <w:rsid w:val="3C392406"/>
    <w:rsid w:val="3D2A74A8"/>
    <w:rsid w:val="3D6F2337"/>
    <w:rsid w:val="3E3D303A"/>
    <w:rsid w:val="40B46930"/>
    <w:rsid w:val="42707B39"/>
    <w:rsid w:val="488A0E38"/>
    <w:rsid w:val="49A02FBF"/>
    <w:rsid w:val="4A990283"/>
    <w:rsid w:val="4CE25FB2"/>
    <w:rsid w:val="4CF43D26"/>
    <w:rsid w:val="4E7263AB"/>
    <w:rsid w:val="4EA72386"/>
    <w:rsid w:val="4EB61CD2"/>
    <w:rsid w:val="50A170FF"/>
    <w:rsid w:val="50C329E5"/>
    <w:rsid w:val="510A7F4F"/>
    <w:rsid w:val="51151097"/>
    <w:rsid w:val="512134B0"/>
    <w:rsid w:val="52586AA6"/>
    <w:rsid w:val="52634F91"/>
    <w:rsid w:val="530B6915"/>
    <w:rsid w:val="54AD4D7C"/>
    <w:rsid w:val="55D070C4"/>
    <w:rsid w:val="5AC61106"/>
    <w:rsid w:val="5C464CEB"/>
    <w:rsid w:val="5C8E25D5"/>
    <w:rsid w:val="5CF47816"/>
    <w:rsid w:val="5D7C1D04"/>
    <w:rsid w:val="5ECA293A"/>
    <w:rsid w:val="5ED77A2D"/>
    <w:rsid w:val="60462B0F"/>
    <w:rsid w:val="605214C8"/>
    <w:rsid w:val="6164436E"/>
    <w:rsid w:val="62886749"/>
    <w:rsid w:val="6387261D"/>
    <w:rsid w:val="63FF739F"/>
    <w:rsid w:val="642A0385"/>
    <w:rsid w:val="66C8622A"/>
    <w:rsid w:val="676B0D19"/>
    <w:rsid w:val="6B7D2EF8"/>
    <w:rsid w:val="6C7500E5"/>
    <w:rsid w:val="6D1E22A7"/>
    <w:rsid w:val="6F556C0A"/>
    <w:rsid w:val="70047F79"/>
    <w:rsid w:val="70D926AF"/>
    <w:rsid w:val="720E5B30"/>
    <w:rsid w:val="72241C55"/>
    <w:rsid w:val="735937F1"/>
    <w:rsid w:val="73D72EE0"/>
    <w:rsid w:val="73DB1D47"/>
    <w:rsid w:val="74BF63D7"/>
    <w:rsid w:val="752F5AF0"/>
    <w:rsid w:val="75FC0070"/>
    <w:rsid w:val="7708362D"/>
    <w:rsid w:val="77273367"/>
    <w:rsid w:val="78C64A6F"/>
    <w:rsid w:val="78E940ED"/>
    <w:rsid w:val="79A16C85"/>
    <w:rsid w:val="7A0B247B"/>
    <w:rsid w:val="7D0165FD"/>
    <w:rsid w:val="7DAF1F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467</Words>
  <Characters>2668</Characters>
  <Lines>22</Lines>
  <Paragraphs>6</Paragraphs>
  <TotalTime>1</TotalTime>
  <ScaleCrop>false</ScaleCrop>
  <LinksUpToDate>false</LinksUpToDate>
  <CharactersWithSpaces>3129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2019-12-24T06:04:00Z</dcterms:created>
  <dc:creator>Administrator</dc:creator>
  <cp:lastModifiedBy>Joan1409484087</cp:lastModifiedBy>
  <cp:lastPrinted>2020-07-16T08:51:00Z</cp:lastPrinted>
  <dcterms:modified xsi:type="dcterms:W3CDTF">2020-07-31T02:39:37Z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