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_GBK" w:cs="黑体"/>
          <w:sz w:val="44"/>
          <w:szCs w:val="44"/>
        </w:rPr>
      </w:pPr>
      <w:r>
        <w:rPr>
          <w:rFonts w:hint="eastAsia" w:ascii="Times New Roman" w:hAnsi="Times New Roman" w:eastAsia="方正小标宋_GBK" w:cs="黑体"/>
          <w:sz w:val="44"/>
          <w:szCs w:val="44"/>
        </w:rPr>
        <w:t>关于《太仓市景观照明管理办法（试行）》的起草说明</w:t>
      </w:r>
    </w:p>
    <w:p>
      <w:pPr>
        <w:spacing w:line="580" w:lineRule="exact"/>
        <w:ind w:firstLine="640" w:firstLineChars="200"/>
        <w:rPr>
          <w:rFonts w:ascii="Times New Roman" w:hAnsi="Times New Roman" w:eastAsia="黑体" w:cs="黑体"/>
          <w:sz w:val="32"/>
          <w:szCs w:val="32"/>
        </w:rPr>
      </w:pPr>
    </w:p>
    <w:p>
      <w:pPr>
        <w:spacing w:line="58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一、起草背景</w:t>
      </w:r>
    </w:p>
    <w:p>
      <w:pPr>
        <w:spacing w:line="580" w:lineRule="exact"/>
        <w:ind w:firstLine="640" w:firstLineChars="200"/>
        <w:rPr>
          <w:rFonts w:ascii="Times New Roman" w:hAnsi="Times New Roman" w:eastAsia="仿宋_GB2312" w:cs="黑体"/>
          <w:sz w:val="32"/>
          <w:szCs w:val="32"/>
        </w:rPr>
      </w:pPr>
      <w:r>
        <w:rPr>
          <w:rFonts w:hint="eastAsia" w:ascii="Times New Roman" w:hAnsi="Times New Roman" w:eastAsia="仿宋_GB2312" w:cs="黑体"/>
          <w:sz w:val="32"/>
          <w:szCs w:val="32"/>
        </w:rPr>
        <w:t>随着</w:t>
      </w:r>
      <w:r>
        <w:rPr>
          <w:rFonts w:ascii="Times New Roman" w:hAnsi="Times New Roman" w:eastAsia="仿宋_GB2312" w:cs="黑体"/>
          <w:sz w:val="32"/>
          <w:szCs w:val="32"/>
        </w:rPr>
        <w:t>城市的发展</w:t>
      </w:r>
      <w:r>
        <w:rPr>
          <w:rFonts w:hint="eastAsia" w:ascii="Times New Roman" w:hAnsi="Times New Roman" w:eastAsia="仿宋_GB2312" w:cs="黑体"/>
          <w:sz w:val="32"/>
          <w:szCs w:val="32"/>
          <w:lang w:eastAsia="zh-CN"/>
        </w:rPr>
        <w:t>，</w:t>
      </w:r>
      <w:r>
        <w:rPr>
          <w:rFonts w:ascii="Times New Roman" w:hAnsi="Times New Roman" w:eastAsia="仿宋_GB2312" w:cs="黑体"/>
          <w:sz w:val="32"/>
          <w:szCs w:val="32"/>
        </w:rPr>
        <w:t>城市景观照明</w:t>
      </w:r>
      <w:r>
        <w:rPr>
          <w:rFonts w:hint="eastAsia" w:ascii="Times New Roman" w:hAnsi="Times New Roman" w:eastAsia="仿宋_GB2312" w:cs="黑体"/>
          <w:sz w:val="32"/>
          <w:szCs w:val="32"/>
        </w:rPr>
        <w:t>已</w:t>
      </w:r>
      <w:r>
        <w:rPr>
          <w:rFonts w:ascii="Times New Roman" w:hAnsi="Times New Roman" w:eastAsia="仿宋_GB2312" w:cs="黑体"/>
          <w:sz w:val="32"/>
          <w:szCs w:val="32"/>
        </w:rPr>
        <w:t>成为</w:t>
      </w:r>
      <w:r>
        <w:rPr>
          <w:rFonts w:hint="eastAsia" w:ascii="Times New Roman" w:hAnsi="Times New Roman" w:eastAsia="仿宋_GB2312" w:cs="黑体"/>
          <w:sz w:val="32"/>
          <w:szCs w:val="32"/>
        </w:rPr>
        <w:t>展示</w:t>
      </w:r>
      <w:r>
        <w:rPr>
          <w:rFonts w:ascii="Times New Roman" w:hAnsi="Times New Roman" w:eastAsia="仿宋_GB2312" w:cs="黑体"/>
          <w:sz w:val="32"/>
          <w:szCs w:val="32"/>
        </w:rPr>
        <w:t>城市发展水平的一个</w:t>
      </w:r>
      <w:r>
        <w:rPr>
          <w:rFonts w:hint="eastAsia" w:ascii="Times New Roman" w:hAnsi="Times New Roman" w:eastAsia="仿宋_GB2312" w:cs="黑体"/>
          <w:sz w:val="32"/>
          <w:szCs w:val="32"/>
        </w:rPr>
        <w:t>重要部分</w:t>
      </w:r>
      <w:r>
        <w:rPr>
          <w:rFonts w:ascii="Times New Roman" w:hAnsi="Times New Roman" w:eastAsia="仿宋_GB2312" w:cs="黑体"/>
          <w:sz w:val="32"/>
          <w:szCs w:val="32"/>
        </w:rPr>
        <w:t>，</w:t>
      </w:r>
      <w:r>
        <w:rPr>
          <w:rFonts w:hint="eastAsia" w:ascii="Times New Roman" w:hAnsi="Times New Roman" w:eastAsia="仿宋_GB2312" w:cs="黑体"/>
          <w:sz w:val="32"/>
          <w:szCs w:val="32"/>
        </w:rPr>
        <w:t>在</w:t>
      </w:r>
      <w:r>
        <w:rPr>
          <w:rFonts w:ascii="Times New Roman" w:hAnsi="Times New Roman" w:eastAsia="仿宋_GB2312" w:cs="黑体"/>
          <w:sz w:val="32"/>
          <w:szCs w:val="32"/>
        </w:rPr>
        <w:t>景观照明的建设</w:t>
      </w:r>
      <w:r>
        <w:rPr>
          <w:rFonts w:hint="eastAsia" w:ascii="Times New Roman" w:hAnsi="Times New Roman" w:eastAsia="仿宋_GB2312" w:cs="黑体"/>
          <w:sz w:val="32"/>
          <w:szCs w:val="32"/>
        </w:rPr>
        <w:t>和</w:t>
      </w:r>
      <w:r>
        <w:rPr>
          <w:rFonts w:ascii="Times New Roman" w:hAnsi="Times New Roman" w:eastAsia="仿宋_GB2312" w:cs="黑体"/>
          <w:sz w:val="32"/>
          <w:szCs w:val="32"/>
        </w:rPr>
        <w:t>管养</w:t>
      </w:r>
      <w:r>
        <w:rPr>
          <w:rFonts w:hint="eastAsia" w:ascii="Times New Roman" w:hAnsi="Times New Roman" w:eastAsia="仿宋_GB2312" w:cs="黑体"/>
          <w:sz w:val="32"/>
          <w:szCs w:val="32"/>
        </w:rPr>
        <w:t>中</w:t>
      </w:r>
      <w:r>
        <w:rPr>
          <w:rFonts w:ascii="Times New Roman" w:hAnsi="Times New Roman" w:eastAsia="仿宋_GB2312" w:cs="黑体"/>
          <w:sz w:val="32"/>
          <w:szCs w:val="32"/>
        </w:rPr>
        <w:t>，</w:t>
      </w:r>
      <w:r>
        <w:rPr>
          <w:rFonts w:hint="eastAsia" w:ascii="Times New Roman" w:hAnsi="Times New Roman" w:eastAsia="仿宋_GB2312" w:cs="黑体"/>
          <w:sz w:val="32"/>
          <w:szCs w:val="32"/>
        </w:rPr>
        <w:t>存在责任不清，</w:t>
      </w:r>
      <w:r>
        <w:rPr>
          <w:rFonts w:ascii="Times New Roman" w:hAnsi="Times New Roman" w:eastAsia="仿宋_GB2312" w:cs="黑体"/>
          <w:sz w:val="32"/>
          <w:szCs w:val="32"/>
        </w:rPr>
        <w:t>管理混乱的问题，</w:t>
      </w:r>
      <w:r>
        <w:rPr>
          <w:rFonts w:hint="eastAsia" w:ascii="Times New Roman" w:hAnsi="Times New Roman" w:eastAsia="仿宋_GB2312" w:cs="黑体"/>
          <w:sz w:val="32"/>
          <w:szCs w:val="32"/>
        </w:rPr>
        <w:t>各方建、管、养责任</w:t>
      </w:r>
      <w:r>
        <w:rPr>
          <w:rFonts w:ascii="Times New Roman" w:hAnsi="Times New Roman" w:eastAsia="仿宋_GB2312" w:cs="黑体"/>
          <w:sz w:val="32"/>
          <w:szCs w:val="32"/>
        </w:rPr>
        <w:t>亟需明确</w:t>
      </w:r>
      <w:r>
        <w:rPr>
          <w:rFonts w:hint="eastAsia" w:ascii="Times New Roman" w:hAnsi="Times New Roman" w:eastAsia="仿宋_GB2312" w:cs="黑体"/>
          <w:sz w:val="32"/>
          <w:szCs w:val="32"/>
        </w:rPr>
        <w:t>。《江苏省城市市容和环境卫生管理条例》中提出，“建筑物、构筑物、广告设施以及道路、广场、绿地等设置夜景照明设施的，应当符合夜景照明规划。夜景照明设施的设置单位或者管理单位应当加强照明设施的维护管理，保持整洁、完好，并按照规定开闭。”</w:t>
      </w:r>
    </w:p>
    <w:p>
      <w:pPr>
        <w:spacing w:line="580" w:lineRule="exact"/>
        <w:rPr>
          <w:rFonts w:ascii="Times New Roman" w:hAnsi="Times New Roman" w:eastAsia="仿宋_GB2312" w:cs="黑体"/>
          <w:sz w:val="32"/>
          <w:szCs w:val="32"/>
        </w:rPr>
      </w:pPr>
      <w:r>
        <w:rPr>
          <w:rFonts w:hint="eastAsia" w:ascii="Times New Roman" w:hAnsi="Times New Roman" w:eastAsia="仿宋_GB2312" w:cs="黑体"/>
          <w:sz w:val="32"/>
          <w:szCs w:val="32"/>
        </w:rPr>
        <w:t>《苏州市市政设施管理条例》对</w:t>
      </w:r>
      <w:r>
        <w:rPr>
          <w:rFonts w:ascii="Times New Roman" w:hAnsi="Times New Roman" w:eastAsia="仿宋_GB2312" w:cs="黑体"/>
          <w:sz w:val="32"/>
          <w:szCs w:val="32"/>
        </w:rPr>
        <w:t>照明设施的管理</w:t>
      </w:r>
      <w:r>
        <w:rPr>
          <w:rFonts w:hint="eastAsia" w:ascii="Times New Roman" w:hAnsi="Times New Roman" w:eastAsia="仿宋_GB2312" w:cs="黑体"/>
          <w:sz w:val="32"/>
          <w:szCs w:val="32"/>
        </w:rPr>
        <w:t>提</w:t>
      </w:r>
      <w:r>
        <w:rPr>
          <w:rFonts w:ascii="Times New Roman" w:hAnsi="Times New Roman" w:eastAsia="仿宋_GB2312" w:cs="黑体"/>
          <w:sz w:val="32"/>
          <w:szCs w:val="32"/>
        </w:rPr>
        <w:t>出了更详细的要求</w:t>
      </w:r>
      <w:r>
        <w:rPr>
          <w:rFonts w:hint="eastAsia" w:ascii="Times New Roman" w:hAnsi="Times New Roman" w:eastAsia="仿宋_GB2312" w:cs="黑体"/>
          <w:sz w:val="32"/>
          <w:szCs w:val="32"/>
        </w:rPr>
        <w:t>，进一步明确</w:t>
      </w:r>
      <w:r>
        <w:rPr>
          <w:rFonts w:ascii="Times New Roman" w:hAnsi="Times New Roman" w:eastAsia="仿宋_GB2312" w:cs="黑体"/>
          <w:sz w:val="32"/>
          <w:szCs w:val="32"/>
        </w:rPr>
        <w:t>了</w:t>
      </w:r>
      <w:r>
        <w:rPr>
          <w:rFonts w:hint="eastAsia" w:ascii="Times New Roman" w:hAnsi="Times New Roman" w:eastAsia="仿宋_GB2312" w:cs="黑体"/>
          <w:sz w:val="32"/>
          <w:szCs w:val="32"/>
        </w:rPr>
        <w:t>照明设施的设置和管理单位，</w:t>
      </w:r>
      <w:r>
        <w:rPr>
          <w:rFonts w:ascii="Times New Roman" w:hAnsi="Times New Roman" w:eastAsia="仿宋_GB2312" w:cs="黑体"/>
          <w:sz w:val="32"/>
          <w:szCs w:val="32"/>
        </w:rPr>
        <w:t>提出，</w:t>
      </w:r>
      <w:r>
        <w:rPr>
          <w:rFonts w:hint="eastAsia" w:ascii="Times New Roman" w:hAnsi="Times New Roman" w:eastAsia="仿宋_GB2312" w:cs="黑体"/>
          <w:sz w:val="32"/>
          <w:szCs w:val="32"/>
        </w:rPr>
        <w:t>“新建、改建、扩建的建（构）筑物（包括公共设施），按照景观照明专项规划需要设置景观照明的，由所有人负责建设，与主体工程同时设计、同时施工、同时投入运行。非政府投资的城市照明设施需要纳入城市公共照明网络的，应当经市政设施行政主管部门验收合格后，方可办理移交手续，纳入城市公共照明网络，实行统一供电、集中控制。”</w:t>
      </w:r>
    </w:p>
    <w:p>
      <w:pPr>
        <w:spacing w:line="580" w:lineRule="exact"/>
        <w:ind w:firstLine="640" w:firstLineChars="200"/>
        <w:rPr>
          <w:rFonts w:ascii="Times New Roman" w:hAnsi="Times New Roman" w:eastAsia="仿宋_GB2312" w:cs="黑体"/>
          <w:sz w:val="32"/>
          <w:szCs w:val="32"/>
        </w:rPr>
      </w:pPr>
      <w:r>
        <w:rPr>
          <w:rFonts w:hint="eastAsia" w:ascii="Times New Roman" w:hAnsi="Times New Roman" w:eastAsia="仿宋_GB2312" w:cs="黑体"/>
          <w:sz w:val="32"/>
          <w:szCs w:val="32"/>
        </w:rPr>
        <w:t>近年来</w:t>
      </w:r>
      <w:r>
        <w:rPr>
          <w:rFonts w:ascii="Times New Roman" w:hAnsi="Times New Roman" w:eastAsia="仿宋_GB2312" w:cs="黑体"/>
          <w:sz w:val="32"/>
          <w:szCs w:val="32"/>
        </w:rPr>
        <w:t>，我市</w:t>
      </w:r>
      <w:r>
        <w:rPr>
          <w:rFonts w:hint="eastAsia" w:ascii="Times New Roman" w:hAnsi="Times New Roman" w:eastAsia="仿宋_GB2312" w:cs="黑体"/>
          <w:sz w:val="32"/>
          <w:szCs w:val="32"/>
        </w:rPr>
        <w:t>夜间</w:t>
      </w:r>
      <w:r>
        <w:rPr>
          <w:rFonts w:ascii="Times New Roman" w:hAnsi="Times New Roman" w:eastAsia="仿宋_GB2312" w:cs="黑体"/>
          <w:sz w:val="32"/>
          <w:szCs w:val="32"/>
        </w:rPr>
        <w:t>城市景观日益多彩，景观照明设施</w:t>
      </w:r>
      <w:r>
        <w:rPr>
          <w:rFonts w:hint="eastAsia" w:ascii="Times New Roman" w:hAnsi="Times New Roman" w:eastAsia="仿宋_GB2312" w:cs="黑体"/>
          <w:sz w:val="32"/>
          <w:szCs w:val="32"/>
        </w:rPr>
        <w:t>日渐增多</w:t>
      </w:r>
      <w:r>
        <w:rPr>
          <w:rFonts w:ascii="Times New Roman" w:hAnsi="Times New Roman" w:eastAsia="仿宋_GB2312" w:cs="黑体"/>
          <w:sz w:val="32"/>
          <w:szCs w:val="32"/>
        </w:rPr>
        <w:t>，</w:t>
      </w:r>
      <w:r>
        <w:rPr>
          <w:rFonts w:hint="eastAsia" w:ascii="Times New Roman" w:hAnsi="Times New Roman" w:eastAsia="仿宋_GB2312" w:cs="黑体"/>
          <w:sz w:val="32"/>
          <w:szCs w:val="32"/>
        </w:rPr>
        <w:t>但在建设</w:t>
      </w:r>
      <w:r>
        <w:rPr>
          <w:rFonts w:ascii="Times New Roman" w:hAnsi="Times New Roman" w:eastAsia="仿宋_GB2312" w:cs="黑体"/>
          <w:sz w:val="32"/>
          <w:szCs w:val="32"/>
        </w:rPr>
        <w:t>和管养方面仍存在</w:t>
      </w:r>
      <w:r>
        <w:rPr>
          <w:rFonts w:hint="eastAsia" w:ascii="Times New Roman" w:hAnsi="Times New Roman" w:eastAsia="仿宋_GB2312" w:cs="黑体"/>
          <w:sz w:val="32"/>
          <w:szCs w:val="32"/>
        </w:rPr>
        <w:t>很多</w:t>
      </w:r>
      <w:r>
        <w:rPr>
          <w:rFonts w:ascii="Times New Roman" w:hAnsi="Times New Roman" w:eastAsia="仿宋_GB2312" w:cs="黑体"/>
          <w:sz w:val="32"/>
          <w:szCs w:val="32"/>
        </w:rPr>
        <w:t>问题</w:t>
      </w:r>
      <w:r>
        <w:rPr>
          <w:rFonts w:hint="eastAsia" w:ascii="Times New Roman" w:hAnsi="Times New Roman" w:eastAsia="仿宋_GB2312" w:cs="黑体"/>
          <w:sz w:val="32"/>
          <w:szCs w:val="32"/>
        </w:rPr>
        <w:t>。如，应</w:t>
      </w:r>
      <w:r>
        <w:rPr>
          <w:rFonts w:ascii="Times New Roman" w:hAnsi="Times New Roman" w:eastAsia="仿宋_GB2312" w:cs="黑体"/>
          <w:sz w:val="32"/>
          <w:szCs w:val="32"/>
        </w:rPr>
        <w:t>设置景观照明的建筑未设置或未按照要求设置景观照明</w:t>
      </w:r>
      <w:r>
        <w:rPr>
          <w:rFonts w:hint="eastAsia" w:ascii="Times New Roman" w:hAnsi="Times New Roman" w:eastAsia="仿宋_GB2312" w:cs="黑体"/>
          <w:sz w:val="32"/>
          <w:szCs w:val="32"/>
        </w:rPr>
        <w:t>；</w:t>
      </w:r>
      <w:r>
        <w:rPr>
          <w:rFonts w:ascii="Times New Roman" w:hAnsi="Times New Roman" w:eastAsia="仿宋_GB2312" w:cs="黑体"/>
          <w:sz w:val="32"/>
          <w:szCs w:val="32"/>
        </w:rPr>
        <w:t>住宅小区建筑的景观照明设施，在开发商建设完成撤场后</w:t>
      </w:r>
      <w:r>
        <w:rPr>
          <w:rFonts w:hint="eastAsia" w:ascii="Times New Roman" w:hAnsi="Times New Roman" w:eastAsia="仿宋_GB2312" w:cs="黑体"/>
          <w:sz w:val="32"/>
          <w:szCs w:val="32"/>
        </w:rPr>
        <w:t>无人维护</w:t>
      </w:r>
      <w:r>
        <w:rPr>
          <w:rFonts w:ascii="Times New Roman" w:hAnsi="Times New Roman" w:eastAsia="仿宋_GB2312" w:cs="黑体"/>
          <w:sz w:val="32"/>
          <w:szCs w:val="32"/>
        </w:rPr>
        <w:t>；</w:t>
      </w:r>
      <w:r>
        <w:rPr>
          <w:rFonts w:hint="eastAsia" w:ascii="Times New Roman" w:hAnsi="Times New Roman" w:eastAsia="仿宋_GB2312" w:cs="黑体"/>
          <w:sz w:val="32"/>
          <w:szCs w:val="32"/>
        </w:rPr>
        <w:t>各景观</w:t>
      </w:r>
      <w:r>
        <w:rPr>
          <w:rFonts w:ascii="Times New Roman" w:hAnsi="Times New Roman" w:eastAsia="仿宋_GB2312" w:cs="黑体"/>
          <w:sz w:val="32"/>
          <w:szCs w:val="32"/>
        </w:rPr>
        <w:t>照明设施控制方式</w:t>
      </w:r>
      <w:r>
        <w:rPr>
          <w:rFonts w:hint="eastAsia" w:ascii="Times New Roman" w:hAnsi="Times New Roman" w:eastAsia="仿宋_GB2312" w:cs="黑体"/>
          <w:sz w:val="32"/>
          <w:szCs w:val="32"/>
        </w:rPr>
        <w:t>不同</w:t>
      </w:r>
      <w:r>
        <w:rPr>
          <w:rFonts w:ascii="Times New Roman" w:hAnsi="Times New Roman" w:eastAsia="仿宋_GB2312" w:cs="黑体"/>
          <w:sz w:val="32"/>
          <w:szCs w:val="32"/>
        </w:rPr>
        <w:t>，无法进行统一启闭</w:t>
      </w:r>
      <w:r>
        <w:rPr>
          <w:rFonts w:hint="eastAsia" w:ascii="Times New Roman" w:hAnsi="Times New Roman" w:eastAsia="仿宋_GB2312" w:cs="黑体"/>
          <w:sz w:val="32"/>
          <w:szCs w:val="32"/>
        </w:rPr>
        <w:t>。为了增强景观</w:t>
      </w:r>
      <w:r>
        <w:rPr>
          <w:rFonts w:ascii="Times New Roman" w:hAnsi="Times New Roman" w:eastAsia="仿宋_GB2312" w:cs="黑体"/>
          <w:sz w:val="32"/>
          <w:szCs w:val="32"/>
        </w:rPr>
        <w:t>照明建设</w:t>
      </w:r>
      <w:r>
        <w:rPr>
          <w:rFonts w:hint="eastAsia" w:ascii="Times New Roman" w:hAnsi="Times New Roman" w:eastAsia="仿宋_GB2312" w:cs="黑体"/>
          <w:sz w:val="32"/>
          <w:szCs w:val="32"/>
        </w:rPr>
        <w:t>的</w:t>
      </w:r>
      <w:r>
        <w:rPr>
          <w:rFonts w:ascii="Times New Roman" w:hAnsi="Times New Roman" w:eastAsia="仿宋_GB2312" w:cs="黑体"/>
          <w:sz w:val="32"/>
          <w:szCs w:val="32"/>
        </w:rPr>
        <w:t>整体性，</w:t>
      </w:r>
      <w:r>
        <w:rPr>
          <w:rFonts w:hint="eastAsia" w:ascii="Times New Roman" w:hAnsi="Times New Roman" w:eastAsia="仿宋_GB2312" w:cs="黑体"/>
          <w:sz w:val="32"/>
          <w:szCs w:val="32"/>
        </w:rPr>
        <w:t>明确</w:t>
      </w:r>
      <w:r>
        <w:rPr>
          <w:rFonts w:ascii="Times New Roman" w:hAnsi="Times New Roman" w:eastAsia="仿宋_GB2312" w:cs="黑体"/>
          <w:sz w:val="32"/>
          <w:szCs w:val="32"/>
        </w:rPr>
        <w:t>景观照明设施投、建、管的责任单位，</w:t>
      </w:r>
      <w:r>
        <w:rPr>
          <w:rFonts w:hint="eastAsia" w:ascii="Times New Roman" w:hAnsi="Times New Roman" w:eastAsia="仿宋_GB2312" w:cs="黑体"/>
          <w:sz w:val="32"/>
          <w:szCs w:val="32"/>
        </w:rPr>
        <w:t>推动景观照明管理规范化，</w:t>
      </w:r>
      <w:r>
        <w:rPr>
          <w:rFonts w:ascii="Times New Roman" w:hAnsi="Times New Roman" w:eastAsia="仿宋_GB2312" w:cs="黑体"/>
          <w:sz w:val="32"/>
          <w:szCs w:val="32"/>
        </w:rPr>
        <w:t>出台</w:t>
      </w:r>
      <w:r>
        <w:rPr>
          <w:rFonts w:hint="eastAsia" w:ascii="Times New Roman" w:hAnsi="Times New Roman" w:eastAsia="仿宋_GB2312" w:cs="黑体"/>
          <w:sz w:val="32"/>
          <w:szCs w:val="32"/>
        </w:rPr>
        <w:t>符合我市实际的景观照明</w:t>
      </w:r>
      <w:r>
        <w:rPr>
          <w:rFonts w:ascii="Times New Roman" w:hAnsi="Times New Roman" w:eastAsia="仿宋_GB2312" w:cs="黑体"/>
          <w:sz w:val="32"/>
          <w:szCs w:val="32"/>
        </w:rPr>
        <w:t>管理办法</w:t>
      </w:r>
      <w:r>
        <w:rPr>
          <w:rFonts w:hint="eastAsia" w:ascii="Times New Roman" w:hAnsi="Times New Roman" w:eastAsia="仿宋_GB2312" w:cs="黑体"/>
          <w:sz w:val="32"/>
          <w:szCs w:val="32"/>
        </w:rPr>
        <w:t>非常迫切和必要。</w:t>
      </w:r>
    </w:p>
    <w:p>
      <w:pPr>
        <w:spacing w:line="58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二、起草过程</w:t>
      </w:r>
    </w:p>
    <w:p>
      <w:pPr>
        <w:spacing w:line="580" w:lineRule="exact"/>
        <w:ind w:firstLine="640" w:firstLineChars="200"/>
        <w:rPr>
          <w:rFonts w:ascii="Times New Roman" w:hAnsi="Times New Roman" w:eastAsia="仿宋_GB2312" w:cs="黑体"/>
          <w:sz w:val="32"/>
          <w:szCs w:val="32"/>
        </w:rPr>
      </w:pPr>
      <w:r>
        <w:rPr>
          <w:rFonts w:hint="eastAsia" w:ascii="Times New Roman" w:hAnsi="Times New Roman" w:eastAsia="仿宋_GB2312" w:cs="黑体"/>
          <w:sz w:val="32"/>
          <w:szCs w:val="32"/>
        </w:rPr>
        <w:t>2</w:t>
      </w:r>
      <w:r>
        <w:rPr>
          <w:rFonts w:ascii="Times New Roman" w:hAnsi="Times New Roman" w:eastAsia="仿宋_GB2312" w:cs="黑体"/>
          <w:sz w:val="32"/>
          <w:szCs w:val="32"/>
        </w:rPr>
        <w:t>020</w:t>
      </w:r>
      <w:r>
        <w:rPr>
          <w:rFonts w:hint="eastAsia" w:ascii="Times New Roman" w:hAnsi="Times New Roman" w:eastAsia="仿宋_GB2312" w:cs="黑体"/>
          <w:sz w:val="32"/>
          <w:szCs w:val="32"/>
        </w:rPr>
        <w:t>年</w:t>
      </w:r>
      <w:r>
        <w:rPr>
          <w:rFonts w:ascii="Times New Roman" w:hAnsi="Times New Roman" w:eastAsia="仿宋_GB2312" w:cs="黑体"/>
          <w:sz w:val="32"/>
          <w:szCs w:val="32"/>
        </w:rPr>
        <w:t>9</w:t>
      </w:r>
      <w:r>
        <w:rPr>
          <w:rFonts w:hint="eastAsia" w:ascii="Times New Roman" w:hAnsi="Times New Roman" w:eastAsia="仿宋_GB2312" w:cs="黑体"/>
          <w:sz w:val="32"/>
          <w:szCs w:val="32"/>
        </w:rPr>
        <w:t>月，市城管局组建起草小组，着手《太仓市景观照明管理办法（试行）》的起草工作。</w:t>
      </w:r>
    </w:p>
    <w:p>
      <w:pPr>
        <w:spacing w:line="580" w:lineRule="exact"/>
        <w:ind w:firstLine="640" w:firstLineChars="200"/>
        <w:rPr>
          <w:rFonts w:ascii="Times New Roman" w:hAnsi="Times New Roman" w:eastAsia="仿宋_GB2312" w:cs="黑体"/>
          <w:sz w:val="32"/>
          <w:szCs w:val="32"/>
        </w:rPr>
      </w:pPr>
      <w:r>
        <w:rPr>
          <w:rFonts w:hint="eastAsia" w:ascii="Times New Roman" w:hAnsi="Times New Roman" w:eastAsia="仿宋_GB2312" w:cs="黑体"/>
          <w:sz w:val="32"/>
          <w:szCs w:val="32"/>
        </w:rPr>
        <w:t>起草小组根据《江苏省城市市容和环境卫生管理条例》《江苏省物业管理条例》《苏州市市政设施管理条例》</w:t>
      </w:r>
      <w:r>
        <w:rPr>
          <w:rFonts w:hint="eastAsia" w:ascii="仿宋" w:hAnsi="仿宋" w:eastAsia="仿宋" w:cs="仿宋"/>
          <w:color w:val="000000"/>
          <w:kern w:val="0"/>
          <w:sz w:val="32"/>
          <w:szCs w:val="32"/>
          <w:lang w:val="en-US" w:eastAsia="zh-CN" w:bidi="ar"/>
        </w:rPr>
        <w:t>《苏州市景观照明管理办法</w:t>
      </w:r>
      <w:r>
        <w:rPr>
          <w:rFonts w:hint="eastAsia" w:ascii="Times New Roman" w:hAnsi="Times New Roman" w:eastAsia="仿宋_GB2312" w:cs="黑体"/>
          <w:sz w:val="32"/>
          <w:szCs w:val="32"/>
          <w:lang w:eastAsia="zh-CN"/>
        </w:rPr>
        <w:t>》</w:t>
      </w:r>
      <w:r>
        <w:rPr>
          <w:rFonts w:hint="eastAsia" w:ascii="Times New Roman" w:hAnsi="Times New Roman" w:eastAsia="仿宋_GB2312" w:cs="黑体"/>
          <w:sz w:val="32"/>
          <w:szCs w:val="32"/>
        </w:rPr>
        <w:t>等法规、规范性文件，充分研究</w:t>
      </w:r>
      <w:r>
        <w:rPr>
          <w:rFonts w:ascii="Times New Roman" w:hAnsi="Times New Roman" w:eastAsia="仿宋_GB2312" w:cs="黑体"/>
          <w:sz w:val="32"/>
          <w:szCs w:val="32"/>
        </w:rPr>
        <w:t>苏州的</w:t>
      </w:r>
      <w:r>
        <w:rPr>
          <w:rFonts w:hint="eastAsia" w:ascii="Times New Roman" w:hAnsi="Times New Roman" w:eastAsia="仿宋_GB2312" w:cs="黑体"/>
          <w:sz w:val="32"/>
          <w:szCs w:val="32"/>
        </w:rPr>
        <w:t>管理</w:t>
      </w:r>
      <w:r>
        <w:rPr>
          <w:rFonts w:ascii="Times New Roman" w:hAnsi="Times New Roman" w:eastAsia="仿宋_GB2312" w:cs="黑体"/>
          <w:sz w:val="32"/>
          <w:szCs w:val="32"/>
        </w:rPr>
        <w:t>要求，</w:t>
      </w:r>
      <w:r>
        <w:rPr>
          <w:rFonts w:hint="eastAsia" w:ascii="Times New Roman" w:hAnsi="Times New Roman" w:eastAsia="仿宋_GB2312" w:cs="黑体"/>
          <w:sz w:val="32"/>
          <w:szCs w:val="32"/>
        </w:rPr>
        <w:t>并借鉴了上海等周边发达城市的经验做法，结合</w:t>
      </w:r>
      <w:r>
        <w:rPr>
          <w:rFonts w:hint="eastAsia" w:ascii="Times New Roman" w:hAnsi="Times New Roman" w:eastAsia="仿宋_GB2312" w:cs="黑体"/>
          <w:sz w:val="32"/>
          <w:szCs w:val="32"/>
          <w:lang w:eastAsia="zh-CN"/>
        </w:rPr>
        <w:t>本</w:t>
      </w:r>
      <w:r>
        <w:rPr>
          <w:rFonts w:hint="eastAsia" w:ascii="Times New Roman" w:hAnsi="Times New Roman" w:eastAsia="仿宋_GB2312" w:cs="黑体"/>
          <w:sz w:val="32"/>
          <w:szCs w:val="32"/>
        </w:rPr>
        <w:t>市实际形成《太仓市景观照明管理办法（试行）》初稿。</w:t>
      </w:r>
    </w:p>
    <w:p>
      <w:pPr>
        <w:spacing w:line="580" w:lineRule="exact"/>
        <w:ind w:firstLine="640" w:firstLineChars="200"/>
        <w:rPr>
          <w:rFonts w:ascii="Times New Roman" w:hAnsi="Times New Roman" w:eastAsia="仿宋_GB2312" w:cs="黑体"/>
          <w:sz w:val="32"/>
          <w:szCs w:val="32"/>
        </w:rPr>
      </w:pPr>
      <w:r>
        <w:rPr>
          <w:rFonts w:ascii="Times New Roman" w:hAnsi="Times New Roman" w:eastAsia="仿宋_GB2312" w:cs="黑体"/>
          <w:sz w:val="32"/>
          <w:szCs w:val="32"/>
        </w:rPr>
        <w:t>2020</w:t>
      </w:r>
      <w:r>
        <w:rPr>
          <w:rFonts w:hint="eastAsia" w:ascii="Times New Roman" w:hAnsi="Times New Roman" w:eastAsia="仿宋_GB2312" w:cs="黑体"/>
          <w:sz w:val="32"/>
          <w:szCs w:val="32"/>
        </w:rPr>
        <w:t>年</w:t>
      </w:r>
      <w:r>
        <w:rPr>
          <w:rFonts w:ascii="Times New Roman" w:hAnsi="Times New Roman" w:eastAsia="仿宋_GB2312" w:cs="黑体"/>
          <w:sz w:val="32"/>
          <w:szCs w:val="32"/>
        </w:rPr>
        <w:t>10</w:t>
      </w:r>
      <w:r>
        <w:rPr>
          <w:rFonts w:hint="eastAsia" w:ascii="Times New Roman" w:hAnsi="Times New Roman" w:eastAsia="仿宋_GB2312" w:cs="黑体"/>
          <w:sz w:val="32"/>
          <w:szCs w:val="32"/>
        </w:rPr>
        <w:t>月至2021年</w:t>
      </w:r>
      <w:r>
        <w:rPr>
          <w:rFonts w:hint="eastAsia" w:ascii="Times New Roman" w:hAnsi="Times New Roman" w:eastAsia="仿宋_GB2312" w:cs="黑体"/>
          <w:sz w:val="32"/>
          <w:szCs w:val="32"/>
          <w:lang w:val="en-US" w:eastAsia="zh-CN"/>
        </w:rPr>
        <w:t>4</w:t>
      </w:r>
      <w:r>
        <w:rPr>
          <w:rFonts w:hint="eastAsia" w:ascii="Times New Roman" w:hAnsi="Times New Roman" w:eastAsia="仿宋_GB2312" w:cs="黑体"/>
          <w:sz w:val="32"/>
          <w:szCs w:val="32"/>
        </w:rPr>
        <w:t>月期间，起草小组广泛征求各镇（区、街道）和相关部门意见建议，并与相关</w:t>
      </w:r>
      <w:r>
        <w:rPr>
          <w:rFonts w:ascii="Times New Roman" w:hAnsi="Times New Roman" w:eastAsia="仿宋_GB2312" w:cs="黑体"/>
          <w:sz w:val="32"/>
          <w:szCs w:val="32"/>
        </w:rPr>
        <w:t>部门</w:t>
      </w:r>
      <w:r>
        <w:rPr>
          <w:rFonts w:hint="eastAsia" w:ascii="Times New Roman" w:hAnsi="Times New Roman" w:eastAsia="仿宋_GB2312" w:cs="黑体"/>
          <w:sz w:val="32"/>
          <w:szCs w:val="32"/>
        </w:rPr>
        <w:t>多次</w:t>
      </w:r>
      <w:r>
        <w:rPr>
          <w:rFonts w:ascii="Times New Roman" w:hAnsi="Times New Roman" w:eastAsia="仿宋_GB2312" w:cs="黑体"/>
          <w:sz w:val="32"/>
          <w:szCs w:val="32"/>
        </w:rPr>
        <w:t>进行沟通，</w:t>
      </w:r>
      <w:r>
        <w:rPr>
          <w:rFonts w:hint="eastAsia" w:ascii="Times New Roman" w:hAnsi="Times New Roman" w:eastAsia="仿宋_GB2312" w:cs="黑体"/>
          <w:sz w:val="32"/>
          <w:szCs w:val="32"/>
        </w:rPr>
        <w:t>不断对《太仓市景观照明管理办法（试行）》加以充实、调整和完善，形成了今天</w:t>
      </w:r>
      <w:r>
        <w:rPr>
          <w:rFonts w:hint="eastAsia" w:ascii="Times New Roman" w:hAnsi="Times New Roman" w:eastAsia="仿宋_GB2312" w:cs="黑体"/>
          <w:color w:val="auto"/>
          <w:sz w:val="32"/>
          <w:szCs w:val="32"/>
        </w:rPr>
        <w:t>提交市政府的</w:t>
      </w:r>
      <w:r>
        <w:rPr>
          <w:rFonts w:hint="eastAsia" w:ascii="Times New Roman" w:hAnsi="Times New Roman" w:eastAsia="仿宋_GB2312" w:cs="黑体"/>
          <w:sz w:val="32"/>
          <w:szCs w:val="32"/>
        </w:rPr>
        <w:t>送审稿。</w:t>
      </w:r>
    </w:p>
    <w:p>
      <w:pPr>
        <w:spacing w:line="58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三、主要内容</w:t>
      </w:r>
    </w:p>
    <w:p>
      <w:pPr>
        <w:spacing w:line="580" w:lineRule="exact"/>
        <w:ind w:firstLine="640" w:firstLineChars="200"/>
        <w:rPr>
          <w:rFonts w:ascii="楷体_GB2312" w:hAnsi="Times New Roman" w:eastAsia="楷体_GB2312" w:cs="仿宋_GB2312"/>
          <w:sz w:val="32"/>
          <w:szCs w:val="32"/>
        </w:rPr>
      </w:pPr>
      <w:r>
        <w:rPr>
          <w:rFonts w:hint="eastAsia" w:ascii="楷体_GB2312" w:hAnsi="Times New Roman" w:eastAsia="楷体_GB2312" w:cs="仿宋_GB2312"/>
          <w:sz w:val="32"/>
          <w:szCs w:val="32"/>
        </w:rPr>
        <w:t>《太仓市景观照明管理办法（试行）》（送审稿）共有26条</w:t>
      </w:r>
      <w:r>
        <w:rPr>
          <w:rFonts w:ascii="楷体_GB2312" w:hAnsi="Times New Roman" w:eastAsia="楷体_GB2312" w:cs="仿宋_GB2312"/>
          <w:sz w:val="32"/>
          <w:szCs w:val="32"/>
        </w:rPr>
        <w:t>，</w:t>
      </w:r>
      <w:r>
        <w:rPr>
          <w:rFonts w:hint="eastAsia" w:ascii="楷体_GB2312" w:hAnsi="Times New Roman" w:eastAsia="楷体_GB2312" w:cs="仿宋_GB2312"/>
          <w:sz w:val="32"/>
          <w:szCs w:val="32"/>
        </w:rPr>
        <w:t>可分为四个部分。</w:t>
      </w:r>
    </w:p>
    <w:p>
      <w:pPr>
        <w:spacing w:line="580" w:lineRule="exact"/>
        <w:ind w:firstLine="643" w:firstLineChars="200"/>
        <w:rPr>
          <w:rFonts w:ascii="Times New Roman" w:hAnsi="Times New Roman" w:eastAsia="仿宋_GB2312" w:cs="黑体"/>
          <w:sz w:val="32"/>
          <w:szCs w:val="32"/>
        </w:rPr>
      </w:pPr>
      <w:r>
        <w:rPr>
          <w:rFonts w:hint="eastAsia" w:ascii="Times New Roman" w:hAnsi="Times New Roman" w:eastAsia="仿宋_GB2312" w:cs="黑体"/>
          <w:b/>
          <w:sz w:val="32"/>
          <w:szCs w:val="32"/>
        </w:rPr>
        <w:t>第一部分，总则。</w:t>
      </w:r>
      <w:r>
        <w:rPr>
          <w:rFonts w:hint="eastAsia" w:ascii="Times New Roman" w:hAnsi="Times New Roman" w:eastAsia="仿宋_GB2312" w:cs="黑体"/>
          <w:sz w:val="32"/>
          <w:szCs w:val="32"/>
        </w:rPr>
        <w:t>明确了制订办法</w:t>
      </w:r>
      <w:r>
        <w:rPr>
          <w:rFonts w:ascii="Times New Roman" w:hAnsi="Times New Roman" w:eastAsia="仿宋_GB2312" w:cs="黑体"/>
          <w:sz w:val="32"/>
          <w:szCs w:val="32"/>
        </w:rPr>
        <w:t>的</w:t>
      </w:r>
      <w:r>
        <w:rPr>
          <w:rFonts w:hint="eastAsia" w:ascii="Times New Roman" w:hAnsi="Times New Roman" w:eastAsia="仿宋_GB2312" w:cs="黑体"/>
          <w:sz w:val="32"/>
          <w:szCs w:val="32"/>
        </w:rPr>
        <w:t>目的和依据，办法适用范围，景观照明定义、管理原则和管理部门、提出节约能源要求。</w:t>
      </w:r>
    </w:p>
    <w:p>
      <w:pPr>
        <w:spacing w:line="580" w:lineRule="exact"/>
        <w:ind w:firstLine="640" w:firstLineChars="200"/>
        <w:rPr>
          <w:rFonts w:ascii="Times New Roman" w:hAnsi="Times New Roman" w:eastAsia="仿宋_GB2312" w:cs="黑体"/>
          <w:sz w:val="32"/>
          <w:szCs w:val="32"/>
        </w:rPr>
      </w:pPr>
      <w:r>
        <w:rPr>
          <w:rFonts w:hint="eastAsia" w:ascii="Times New Roman" w:hAnsi="Times New Roman" w:eastAsia="仿宋_GB2312" w:cs="黑体"/>
          <w:sz w:val="32"/>
          <w:szCs w:val="32"/>
        </w:rPr>
        <w:t>确定景观照明管理原则为</w:t>
      </w:r>
      <w:r>
        <w:rPr>
          <w:rFonts w:ascii="Times New Roman" w:hAnsi="Times New Roman" w:eastAsia="仿宋_GB2312" w:cs="黑体"/>
          <w:sz w:val="32"/>
          <w:szCs w:val="32"/>
        </w:rPr>
        <w:t>：</w:t>
      </w:r>
      <w:r>
        <w:rPr>
          <w:rFonts w:hint="eastAsia" w:ascii="Times New Roman" w:hAnsi="Times New Roman" w:eastAsia="仿宋_GB2312" w:cs="黑体"/>
          <w:sz w:val="32"/>
          <w:szCs w:val="32"/>
        </w:rPr>
        <w:t>政府统一规划、业主负责建设、集中控制运行、规范维护管理。</w:t>
      </w:r>
    </w:p>
    <w:p>
      <w:pPr>
        <w:spacing w:line="580" w:lineRule="exact"/>
        <w:ind w:firstLine="640" w:firstLineChars="200"/>
        <w:rPr>
          <w:rFonts w:ascii="Times New Roman" w:hAnsi="Times New Roman" w:eastAsia="仿宋_GB2312" w:cs="黑体"/>
          <w:sz w:val="32"/>
          <w:szCs w:val="32"/>
        </w:rPr>
      </w:pPr>
      <w:r>
        <w:rPr>
          <w:rFonts w:hint="eastAsia" w:ascii="Times New Roman" w:hAnsi="Times New Roman" w:eastAsia="仿宋_GB2312" w:cs="黑体"/>
          <w:sz w:val="32"/>
          <w:szCs w:val="32"/>
        </w:rPr>
        <w:t>明确市城管局是负责全市景观照明及相关设施行政监督管理工作的行政主管部门。市城管局照明处负责全市城市照明设施行业监管的具体实施工作。各镇（区、街道）负责组织和协调辖区内业主建设和维护景观照明设施，照明业务管理部门负责辖区内景观照明及相关设施的具体业务工作。</w:t>
      </w:r>
    </w:p>
    <w:p>
      <w:pPr>
        <w:spacing w:line="580" w:lineRule="exact"/>
        <w:ind w:firstLine="643" w:firstLineChars="200"/>
        <w:rPr>
          <w:rFonts w:ascii="Times New Roman" w:hAnsi="Times New Roman" w:eastAsia="仿宋_GB2312" w:cs="黑体"/>
          <w:sz w:val="32"/>
          <w:szCs w:val="32"/>
        </w:rPr>
      </w:pPr>
      <w:r>
        <w:rPr>
          <w:rFonts w:hint="eastAsia" w:ascii="Times New Roman" w:hAnsi="Times New Roman" w:eastAsia="仿宋_GB2312" w:cs="黑体"/>
          <w:b/>
          <w:sz w:val="32"/>
          <w:szCs w:val="32"/>
        </w:rPr>
        <w:t>第二部分，照明规划及规划方案编制要求。</w:t>
      </w:r>
      <w:r>
        <w:rPr>
          <w:rFonts w:hint="eastAsia" w:ascii="Times New Roman" w:hAnsi="Times New Roman" w:eastAsia="仿宋_GB2312" w:cs="黑体"/>
          <w:sz w:val="32"/>
          <w:szCs w:val="32"/>
        </w:rPr>
        <w:t>包括景观照明规划编制要求、规划实施方案编制要求、征求意见要求。</w:t>
      </w:r>
      <w:r>
        <w:rPr>
          <w:rFonts w:hint="eastAsia" w:ascii="Times New Roman" w:hAnsi="Times New Roman" w:eastAsia="仿宋_GB2312" w:cs="黑体"/>
          <w:sz w:val="32"/>
          <w:szCs w:val="32"/>
          <w:lang w:eastAsia="zh-CN"/>
        </w:rPr>
        <w:t>划拨或</w:t>
      </w:r>
      <w:r>
        <w:rPr>
          <w:rFonts w:hint="eastAsia" w:ascii="Times New Roman" w:hAnsi="Times New Roman" w:eastAsia="仿宋_GB2312" w:cs="黑体"/>
          <w:sz w:val="32"/>
          <w:szCs w:val="32"/>
        </w:rPr>
        <w:t>出让景观照明规划范围内地块时，资源规划部门应在建设工程规划设计要求中将景观照明的方案审批列入城市设计引导中。</w:t>
      </w:r>
    </w:p>
    <w:p>
      <w:pPr>
        <w:spacing w:line="580" w:lineRule="exact"/>
        <w:ind w:firstLine="643" w:firstLineChars="200"/>
        <w:rPr>
          <w:rFonts w:ascii="Times New Roman" w:hAnsi="Times New Roman" w:eastAsia="仿宋_GB2312" w:cs="黑体"/>
          <w:sz w:val="32"/>
          <w:szCs w:val="32"/>
        </w:rPr>
      </w:pPr>
      <w:r>
        <w:rPr>
          <w:rFonts w:hint="eastAsia" w:ascii="Times New Roman" w:hAnsi="Times New Roman" w:eastAsia="仿宋_GB2312" w:cs="黑体"/>
          <w:b/>
          <w:sz w:val="32"/>
          <w:szCs w:val="32"/>
        </w:rPr>
        <w:t>第三</w:t>
      </w:r>
      <w:r>
        <w:rPr>
          <w:rFonts w:ascii="Times New Roman" w:hAnsi="Times New Roman" w:eastAsia="仿宋_GB2312" w:cs="黑体"/>
          <w:b/>
          <w:sz w:val="32"/>
          <w:szCs w:val="32"/>
        </w:rPr>
        <w:t>部分</w:t>
      </w:r>
      <w:r>
        <w:rPr>
          <w:rFonts w:hint="eastAsia" w:ascii="Times New Roman" w:hAnsi="Times New Roman" w:eastAsia="仿宋_GB2312" w:cs="黑体"/>
          <w:b/>
          <w:sz w:val="32"/>
          <w:szCs w:val="32"/>
        </w:rPr>
        <w:t>，景观</w:t>
      </w:r>
      <w:r>
        <w:rPr>
          <w:rFonts w:ascii="Times New Roman" w:hAnsi="Times New Roman" w:eastAsia="仿宋_GB2312" w:cs="黑体"/>
          <w:b/>
          <w:sz w:val="32"/>
          <w:szCs w:val="32"/>
        </w:rPr>
        <w:t>照明设施</w:t>
      </w:r>
      <w:r>
        <w:rPr>
          <w:rFonts w:hint="eastAsia" w:ascii="Times New Roman" w:hAnsi="Times New Roman" w:eastAsia="仿宋_GB2312" w:cs="黑体"/>
          <w:b/>
          <w:sz w:val="32"/>
          <w:szCs w:val="32"/>
        </w:rPr>
        <w:t>投、建、管要求。</w:t>
      </w:r>
      <w:r>
        <w:rPr>
          <w:rFonts w:hint="eastAsia" w:ascii="Times New Roman" w:hAnsi="Times New Roman" w:eastAsia="仿宋_GB2312" w:cs="黑体"/>
          <w:sz w:val="32"/>
          <w:szCs w:val="32"/>
        </w:rPr>
        <w:t>包括景观照明设置要求、新改扩建和既有设施增设要求；建设前备</w:t>
      </w:r>
      <w:bookmarkStart w:id="0" w:name="_GoBack"/>
      <w:bookmarkEnd w:id="0"/>
      <w:r>
        <w:rPr>
          <w:rFonts w:hint="eastAsia" w:ascii="Times New Roman" w:hAnsi="Times New Roman" w:eastAsia="仿宋_GB2312" w:cs="黑体"/>
          <w:sz w:val="32"/>
          <w:szCs w:val="32"/>
        </w:rPr>
        <w:t>案要求、施工要求、验收要求；景观照明纳入集中控制验收要求、集中控制要求；管养责任主体、安全管理、利用景观照明发布广告、拆除改建、监督检查等要求。</w:t>
      </w:r>
    </w:p>
    <w:p>
      <w:pPr>
        <w:spacing w:line="580" w:lineRule="exact"/>
        <w:ind w:firstLine="640" w:firstLineChars="200"/>
        <w:rPr>
          <w:rFonts w:ascii="Times New Roman" w:hAnsi="Times New Roman" w:eastAsia="仿宋_GB2312" w:cs="黑体"/>
          <w:sz w:val="32"/>
          <w:szCs w:val="32"/>
        </w:rPr>
      </w:pPr>
      <w:r>
        <w:rPr>
          <w:rFonts w:hint="eastAsia" w:ascii="Times New Roman" w:hAnsi="Times New Roman" w:eastAsia="仿宋_GB2312" w:cs="黑体"/>
          <w:sz w:val="32"/>
          <w:szCs w:val="32"/>
        </w:rPr>
        <w:t>将</w:t>
      </w:r>
      <w:r>
        <w:rPr>
          <w:rFonts w:ascii="Times New Roman" w:hAnsi="Times New Roman" w:eastAsia="仿宋_GB2312" w:cs="黑体"/>
          <w:sz w:val="32"/>
          <w:szCs w:val="32"/>
        </w:rPr>
        <w:t>景观照明设施分为</w:t>
      </w:r>
      <w:r>
        <w:rPr>
          <w:rFonts w:hint="eastAsia" w:ascii="Times New Roman" w:hAnsi="Times New Roman" w:eastAsia="仿宋_GB2312" w:cs="黑体"/>
          <w:sz w:val="32"/>
          <w:szCs w:val="32"/>
        </w:rPr>
        <w:t>由市财政出资、市城管局建设</w:t>
      </w:r>
      <w:r>
        <w:rPr>
          <w:rFonts w:hint="eastAsia" w:ascii="Times New Roman" w:hAnsi="Times New Roman" w:eastAsia="仿宋_GB2312" w:cs="黑体"/>
          <w:sz w:val="32"/>
          <w:szCs w:val="32"/>
          <w:lang w:eastAsia="zh-CN"/>
        </w:rPr>
        <w:t>，</w:t>
      </w:r>
      <w:r>
        <w:rPr>
          <w:rFonts w:hint="eastAsia" w:ascii="Times New Roman" w:hAnsi="Times New Roman" w:eastAsia="仿宋_GB2312" w:cs="黑体"/>
          <w:sz w:val="32"/>
          <w:szCs w:val="32"/>
        </w:rPr>
        <w:t>各镇（区、街道）</w:t>
      </w:r>
      <w:r>
        <w:rPr>
          <w:rFonts w:hint="eastAsia" w:ascii="Times New Roman" w:hAnsi="Times New Roman" w:eastAsia="仿宋_GB2312" w:cs="黑体"/>
          <w:sz w:val="32"/>
          <w:szCs w:val="32"/>
          <w:lang w:eastAsia="zh-CN"/>
        </w:rPr>
        <w:t>投资</w:t>
      </w:r>
      <w:r>
        <w:rPr>
          <w:rFonts w:hint="eastAsia" w:ascii="Times New Roman" w:hAnsi="Times New Roman" w:eastAsia="仿宋_GB2312" w:cs="黑体"/>
          <w:sz w:val="32"/>
          <w:szCs w:val="32"/>
        </w:rPr>
        <w:t>建设和非政府投资建设三类</w:t>
      </w:r>
      <w:r>
        <w:rPr>
          <w:rFonts w:ascii="Times New Roman" w:hAnsi="Times New Roman" w:eastAsia="仿宋_GB2312" w:cs="黑体"/>
          <w:sz w:val="32"/>
          <w:szCs w:val="32"/>
        </w:rPr>
        <w:t>，</w:t>
      </w:r>
      <w:r>
        <w:rPr>
          <w:rFonts w:hint="eastAsia" w:ascii="Times New Roman" w:hAnsi="Times New Roman" w:eastAsia="仿宋_GB2312" w:cs="黑体"/>
          <w:sz w:val="32"/>
          <w:szCs w:val="32"/>
        </w:rPr>
        <w:t>明确管养责任主体：由市财政出资、市城管局建设的景观照明项目，竣工验收合格后移交属地管养；各镇（区、街道）</w:t>
      </w:r>
      <w:r>
        <w:rPr>
          <w:rFonts w:hint="eastAsia" w:ascii="Times New Roman" w:hAnsi="Times New Roman" w:eastAsia="仿宋_GB2312" w:cs="黑体"/>
          <w:sz w:val="32"/>
          <w:szCs w:val="32"/>
          <w:lang w:eastAsia="zh-CN"/>
        </w:rPr>
        <w:t>投资</w:t>
      </w:r>
      <w:r>
        <w:rPr>
          <w:rFonts w:hint="eastAsia" w:ascii="Times New Roman" w:hAnsi="Times New Roman" w:eastAsia="仿宋_GB2312" w:cs="黑体"/>
          <w:sz w:val="32"/>
          <w:szCs w:val="32"/>
        </w:rPr>
        <w:t>建设的景观照明项目由属地管养；非政府投资建设的景观照明项目实行自建自管，</w:t>
      </w:r>
      <w:r>
        <w:rPr>
          <w:rFonts w:hint="eastAsia" w:ascii="Times New Roman" w:hAnsi="Times New Roman" w:eastAsia="仿宋_GB2312" w:cs="黑体"/>
          <w:sz w:val="32"/>
          <w:szCs w:val="32"/>
          <w:lang w:eastAsia="zh-CN"/>
        </w:rPr>
        <w:t>如</w:t>
      </w:r>
      <w:r>
        <w:rPr>
          <w:rFonts w:hint="eastAsia" w:ascii="Times New Roman" w:hAnsi="Times New Roman" w:eastAsia="仿宋_GB2312" w:cs="黑体"/>
          <w:sz w:val="32"/>
          <w:szCs w:val="32"/>
        </w:rPr>
        <w:t>移交物业服务企业</w:t>
      </w:r>
      <w:r>
        <w:rPr>
          <w:rFonts w:hint="eastAsia" w:ascii="Times New Roman" w:hAnsi="Times New Roman" w:eastAsia="仿宋_GB2312" w:cs="黑体"/>
          <w:sz w:val="32"/>
          <w:szCs w:val="32"/>
          <w:lang w:eastAsia="zh-CN"/>
        </w:rPr>
        <w:t>的</w:t>
      </w:r>
      <w:r>
        <w:rPr>
          <w:rFonts w:hint="eastAsia" w:ascii="Times New Roman" w:hAnsi="Times New Roman" w:eastAsia="仿宋_GB2312" w:cs="黑体"/>
          <w:sz w:val="32"/>
          <w:szCs w:val="32"/>
        </w:rPr>
        <w:t>，</w:t>
      </w:r>
      <w:r>
        <w:rPr>
          <w:rFonts w:hint="eastAsia" w:ascii="Times New Roman" w:hAnsi="Times New Roman" w:eastAsia="仿宋_GB2312" w:cs="黑体"/>
          <w:sz w:val="32"/>
          <w:szCs w:val="32"/>
          <w:lang w:eastAsia="zh-CN"/>
        </w:rPr>
        <w:t>可以</w:t>
      </w:r>
      <w:r>
        <w:rPr>
          <w:rFonts w:hint="eastAsia" w:ascii="Times New Roman" w:hAnsi="Times New Roman" w:eastAsia="仿宋_GB2312" w:cs="黑体"/>
          <w:sz w:val="32"/>
          <w:szCs w:val="32"/>
        </w:rPr>
        <w:t>由物业服务企业负责管理养护。物业管理部门要加强对物业服务企业履行管理养护责任进行指导监督。</w:t>
      </w:r>
    </w:p>
    <w:p>
      <w:pPr>
        <w:spacing w:line="580" w:lineRule="exact"/>
        <w:ind w:firstLine="643" w:firstLineChars="200"/>
        <w:rPr>
          <w:rFonts w:ascii="Times New Roman" w:hAnsi="Times New Roman" w:eastAsia="仿宋_GB2312" w:cs="黑体"/>
          <w:sz w:val="32"/>
          <w:szCs w:val="32"/>
        </w:rPr>
      </w:pPr>
      <w:r>
        <w:rPr>
          <w:rFonts w:hint="eastAsia" w:ascii="Times New Roman" w:hAnsi="Times New Roman" w:eastAsia="仿宋_GB2312" w:cs="黑体"/>
          <w:b/>
          <w:sz w:val="32"/>
          <w:szCs w:val="32"/>
        </w:rPr>
        <w:t>第四部分，法律责任要求。</w:t>
      </w:r>
      <w:r>
        <w:rPr>
          <w:rFonts w:hint="eastAsia" w:ascii="Times New Roman" w:hAnsi="Times New Roman" w:eastAsia="仿宋_GB2312" w:cs="黑体"/>
          <w:sz w:val="32"/>
          <w:szCs w:val="32"/>
        </w:rPr>
        <w:t>擅自停用、移建、拆除景观照明设施造成损失的，依法承担赔偿责任；构成犯罪的，依法追究刑事责任。</w:t>
      </w:r>
    </w:p>
    <w:p>
      <w:pPr>
        <w:spacing w:line="580" w:lineRule="exact"/>
        <w:ind w:firstLine="640" w:firstLineChars="200"/>
        <w:rPr>
          <w:rFonts w:ascii="Times New Roman" w:hAnsi="Times New Roman" w:eastAsia="仿宋_GB2312" w:cs="黑体"/>
          <w:sz w:val="32"/>
          <w:szCs w:val="32"/>
        </w:rPr>
      </w:pPr>
    </w:p>
    <w:p>
      <w:pPr>
        <w:spacing w:line="580" w:lineRule="exact"/>
        <w:ind w:firstLine="640" w:firstLineChars="200"/>
        <w:rPr>
          <w:rFonts w:ascii="Times New Roman" w:hAnsi="Times New Roman" w:eastAsia="仿宋_GB2312" w:cs="黑体"/>
          <w:sz w:val="32"/>
          <w:szCs w:val="32"/>
        </w:rPr>
      </w:pPr>
    </w:p>
    <w:p>
      <w:pPr>
        <w:spacing w:line="580" w:lineRule="exact"/>
        <w:ind w:right="160" w:firstLine="640" w:firstLineChars="200"/>
        <w:jc w:val="righ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太仓市城市管理局</w:t>
      </w:r>
    </w:p>
    <w:p>
      <w:pPr>
        <w:spacing w:line="580" w:lineRule="exact"/>
        <w:ind w:right="160" w:firstLine="640" w:firstLineChars="200"/>
        <w:jc w:val="righ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20</w:t>
      </w:r>
      <w:r>
        <w:rPr>
          <w:rFonts w:ascii="Times New Roman" w:hAnsi="Times New Roman" w:eastAsia="仿宋_GB2312" w:cs="仿宋_GB2312"/>
          <w:color w:val="000000"/>
          <w:kern w:val="0"/>
          <w:sz w:val="32"/>
          <w:szCs w:val="32"/>
        </w:rPr>
        <w:t>2</w:t>
      </w:r>
      <w:r>
        <w:rPr>
          <w:rFonts w:hint="eastAsia" w:ascii="Times New Roman" w:hAnsi="Times New Roman" w:eastAsia="仿宋_GB2312" w:cs="仿宋_GB2312"/>
          <w:color w:val="000000"/>
          <w:kern w:val="0"/>
          <w:sz w:val="32"/>
          <w:szCs w:val="32"/>
          <w:lang w:val="en-US" w:eastAsia="zh-CN"/>
        </w:rPr>
        <w:t>1</w:t>
      </w:r>
      <w:r>
        <w:rPr>
          <w:rFonts w:hint="eastAsia" w:ascii="Times New Roman" w:hAnsi="Times New Roman" w:eastAsia="仿宋_GB2312" w:cs="仿宋_GB2312"/>
          <w:color w:val="000000"/>
          <w:kern w:val="0"/>
          <w:sz w:val="32"/>
          <w:szCs w:val="32"/>
        </w:rPr>
        <w:t>年</w:t>
      </w:r>
      <w:r>
        <w:rPr>
          <w:rFonts w:hint="eastAsia" w:ascii="Times New Roman" w:hAnsi="Times New Roman" w:eastAsia="仿宋_GB2312" w:cs="仿宋_GB2312"/>
          <w:color w:val="000000"/>
          <w:kern w:val="0"/>
          <w:sz w:val="32"/>
          <w:szCs w:val="32"/>
          <w:lang w:val="en-US" w:eastAsia="zh-CN"/>
        </w:rPr>
        <w:t>4</w:t>
      </w:r>
      <w:r>
        <w:rPr>
          <w:rFonts w:hint="eastAsia" w:ascii="Times New Roman" w:hAnsi="Times New Roman" w:eastAsia="仿宋_GB2312" w:cs="仿宋_GB2312"/>
          <w:color w:val="000000"/>
          <w:kern w:val="0"/>
          <w:sz w:val="32"/>
          <w:szCs w:val="32"/>
        </w:rPr>
        <w:t>月</w:t>
      </w:r>
      <w:r>
        <w:rPr>
          <w:rFonts w:hint="eastAsia" w:ascii="Times New Roman" w:hAnsi="Times New Roman" w:eastAsia="仿宋_GB2312" w:cs="仿宋_GB2312"/>
          <w:color w:val="000000"/>
          <w:kern w:val="0"/>
          <w:sz w:val="32"/>
          <w:szCs w:val="32"/>
          <w:lang w:val="en-US" w:eastAsia="zh-CN"/>
        </w:rPr>
        <w:t>15</w:t>
      </w:r>
      <w:r>
        <w:rPr>
          <w:rFonts w:hint="eastAsia" w:ascii="Times New Roman" w:hAnsi="Times New Roman" w:eastAsia="仿宋_GB2312" w:cs="仿宋_GB2312"/>
          <w:color w:val="000000"/>
          <w:kern w:val="0"/>
          <w:sz w:val="32"/>
          <w:szCs w:val="32"/>
        </w:rPr>
        <w:t>日</w:t>
      </w:r>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1788176"/>
      <w:docPartObj>
        <w:docPartGallery w:val="autotext"/>
      </w:docPartObj>
    </w:sdtPr>
    <w:sdtEndPr>
      <w:rPr>
        <w:rFonts w:ascii="Times New Roman" w:hAnsi="Times New Roman" w:cs="Times New Roman"/>
        <w:sz w:val="28"/>
        <w:szCs w:val="28"/>
      </w:rPr>
    </w:sdtEndPr>
    <w:sdtContent>
      <w:p>
        <w:pPr>
          <w:pStyle w:val="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EA"/>
    <w:rsid w:val="00045871"/>
    <w:rsid w:val="000458EA"/>
    <w:rsid w:val="00062BFA"/>
    <w:rsid w:val="00077FA6"/>
    <w:rsid w:val="00084737"/>
    <w:rsid w:val="000B3B7B"/>
    <w:rsid w:val="00111D10"/>
    <w:rsid w:val="00113869"/>
    <w:rsid w:val="001266A0"/>
    <w:rsid w:val="00141309"/>
    <w:rsid w:val="00154F87"/>
    <w:rsid w:val="00174DAC"/>
    <w:rsid w:val="0018170C"/>
    <w:rsid w:val="001B430A"/>
    <w:rsid w:val="001B5381"/>
    <w:rsid w:val="001D2393"/>
    <w:rsid w:val="001D49AA"/>
    <w:rsid w:val="00234BE8"/>
    <w:rsid w:val="002355D7"/>
    <w:rsid w:val="00236CAE"/>
    <w:rsid w:val="00251C87"/>
    <w:rsid w:val="002527D2"/>
    <w:rsid w:val="00254E05"/>
    <w:rsid w:val="0028101F"/>
    <w:rsid w:val="00284520"/>
    <w:rsid w:val="002A51F3"/>
    <w:rsid w:val="002A6972"/>
    <w:rsid w:val="002E2993"/>
    <w:rsid w:val="003055D3"/>
    <w:rsid w:val="003205CB"/>
    <w:rsid w:val="00334CFF"/>
    <w:rsid w:val="00361C8A"/>
    <w:rsid w:val="00463314"/>
    <w:rsid w:val="00480CE6"/>
    <w:rsid w:val="004B68B7"/>
    <w:rsid w:val="004E7080"/>
    <w:rsid w:val="004F38B1"/>
    <w:rsid w:val="00513451"/>
    <w:rsid w:val="005139AB"/>
    <w:rsid w:val="0052024B"/>
    <w:rsid w:val="00526DBA"/>
    <w:rsid w:val="005477D8"/>
    <w:rsid w:val="00554BA9"/>
    <w:rsid w:val="00555EC1"/>
    <w:rsid w:val="00557147"/>
    <w:rsid w:val="00561AB2"/>
    <w:rsid w:val="00564982"/>
    <w:rsid w:val="00572F24"/>
    <w:rsid w:val="00592ED2"/>
    <w:rsid w:val="0059595E"/>
    <w:rsid w:val="005B0D48"/>
    <w:rsid w:val="005B1538"/>
    <w:rsid w:val="005B3C9A"/>
    <w:rsid w:val="005B60B5"/>
    <w:rsid w:val="005E3E14"/>
    <w:rsid w:val="00625795"/>
    <w:rsid w:val="00627EA6"/>
    <w:rsid w:val="00631AD3"/>
    <w:rsid w:val="00665B95"/>
    <w:rsid w:val="006A0A93"/>
    <w:rsid w:val="006C5CCB"/>
    <w:rsid w:val="007064A0"/>
    <w:rsid w:val="00757902"/>
    <w:rsid w:val="00775C37"/>
    <w:rsid w:val="0078307F"/>
    <w:rsid w:val="007B050F"/>
    <w:rsid w:val="007B4AD8"/>
    <w:rsid w:val="00811F6A"/>
    <w:rsid w:val="00823193"/>
    <w:rsid w:val="008367DE"/>
    <w:rsid w:val="0086682F"/>
    <w:rsid w:val="00870EB1"/>
    <w:rsid w:val="00877637"/>
    <w:rsid w:val="008C155B"/>
    <w:rsid w:val="008E30BE"/>
    <w:rsid w:val="008F7564"/>
    <w:rsid w:val="00934833"/>
    <w:rsid w:val="00963658"/>
    <w:rsid w:val="00970C56"/>
    <w:rsid w:val="009A43EC"/>
    <w:rsid w:val="00A27362"/>
    <w:rsid w:val="00A73697"/>
    <w:rsid w:val="00A85259"/>
    <w:rsid w:val="00A97B2E"/>
    <w:rsid w:val="00AA237B"/>
    <w:rsid w:val="00AB49F1"/>
    <w:rsid w:val="00AB6E9A"/>
    <w:rsid w:val="00AD4479"/>
    <w:rsid w:val="00B60390"/>
    <w:rsid w:val="00B67DED"/>
    <w:rsid w:val="00B848CA"/>
    <w:rsid w:val="00B922F6"/>
    <w:rsid w:val="00B935E7"/>
    <w:rsid w:val="00BD2DE7"/>
    <w:rsid w:val="00BD2F0D"/>
    <w:rsid w:val="00BE220A"/>
    <w:rsid w:val="00BE4548"/>
    <w:rsid w:val="00BF249A"/>
    <w:rsid w:val="00C27C0A"/>
    <w:rsid w:val="00C4073E"/>
    <w:rsid w:val="00C53520"/>
    <w:rsid w:val="00C700B6"/>
    <w:rsid w:val="00C7231A"/>
    <w:rsid w:val="00D632A4"/>
    <w:rsid w:val="00D71216"/>
    <w:rsid w:val="00D80A49"/>
    <w:rsid w:val="00E50BD4"/>
    <w:rsid w:val="00E551CD"/>
    <w:rsid w:val="00E745C8"/>
    <w:rsid w:val="00EB30CC"/>
    <w:rsid w:val="00ED5282"/>
    <w:rsid w:val="00ED5F42"/>
    <w:rsid w:val="00F07BB3"/>
    <w:rsid w:val="00F24678"/>
    <w:rsid w:val="00F37A09"/>
    <w:rsid w:val="00F4023A"/>
    <w:rsid w:val="00F455D1"/>
    <w:rsid w:val="00F701C4"/>
    <w:rsid w:val="00FE4B36"/>
    <w:rsid w:val="00FF45CE"/>
    <w:rsid w:val="0943707C"/>
    <w:rsid w:val="151061DB"/>
    <w:rsid w:val="2B4E0C56"/>
    <w:rsid w:val="30E2098C"/>
    <w:rsid w:val="43E66D57"/>
    <w:rsid w:val="4D6F4ED8"/>
    <w:rsid w:val="75733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256</Words>
  <Characters>1461</Characters>
  <Lines>12</Lines>
  <Paragraphs>3</Paragraphs>
  <TotalTime>48</TotalTime>
  <ScaleCrop>false</ScaleCrop>
  <LinksUpToDate>false</LinksUpToDate>
  <CharactersWithSpaces>1714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2019-07-11T06:20:00Z</dcterms:created>
  <dc:creator>dreamsummit</dc:creator>
  <cp:lastModifiedBy>(ˇˍˇ）安静</cp:lastModifiedBy>
  <cp:lastPrinted>2019-07-11T06:41:00Z</cp:lastPrinted>
  <dcterms:modified xsi:type="dcterms:W3CDTF">2021-04-16T06:23:18Z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276F78BBBCC34087A57E0299E6B05941</vt:lpwstr>
  </property>
  <property fmtid="{D5CDD505-2E9C-101B-9397-08002B2CF9AE}" pid="4" name="KSOSaveFontToCloudKey">
    <vt:lpwstr>938187993_btnclosed</vt:lpwstr>
  </property>
</Properties>
</file>