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</w:t>
      </w:r>
      <w:r>
        <w:rPr>
          <w:rFonts w:hint="eastAsia" w:ascii="黑体" w:hAnsi="黑体" w:eastAsia="黑体" w:cs="黑体"/>
          <w:bCs/>
          <w:sz w:val="44"/>
          <w:szCs w:val="44"/>
        </w:rPr>
        <w:t>关于促进太仓市知识产权高质量发展</w:t>
      </w:r>
    </w:p>
    <w:p>
      <w:pPr>
        <w:spacing w:line="240" w:lineRule="auto"/>
        <w:ind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若干政策意见</w:t>
      </w:r>
      <w:r>
        <w:rPr>
          <w:rFonts w:hint="eastAsia" w:ascii="黑体" w:hAnsi="黑体" w:eastAsia="黑体" w:cs="黑体"/>
          <w:sz w:val="44"/>
          <w:szCs w:val="44"/>
        </w:rPr>
        <w:t>》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起草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说明</w:t>
      </w:r>
    </w:p>
    <w:p>
      <w:pPr>
        <w:spacing w:line="560" w:lineRule="exact"/>
        <w:jc w:val="center"/>
        <w:rPr>
          <w:rFonts w:ascii="Times New Roman" w:hAnsi="Times New Roman" w:eastAsia="楷体"/>
          <w:sz w:val="36"/>
          <w:szCs w:val="36"/>
        </w:rPr>
      </w:pPr>
      <w:r>
        <w:rPr>
          <w:rFonts w:ascii="Times New Roman" w:hAnsi="Times New Roman" w:eastAsia="楷体"/>
          <w:sz w:val="36"/>
          <w:szCs w:val="36"/>
        </w:rPr>
        <w:t>202</w:t>
      </w:r>
      <w:r>
        <w:rPr>
          <w:rFonts w:hint="eastAsia" w:ascii="Times New Roman" w:hAnsi="Times New Roman" w:eastAsia="楷体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楷体"/>
          <w:sz w:val="36"/>
          <w:szCs w:val="36"/>
        </w:rPr>
        <w:t>年</w:t>
      </w:r>
      <w:r>
        <w:rPr>
          <w:rFonts w:hint="eastAsia" w:ascii="Times New Roman" w:hAnsi="Times New Roman" w:eastAsia="楷体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楷体"/>
          <w:sz w:val="36"/>
          <w:szCs w:val="36"/>
        </w:rPr>
        <w:t>月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贯彻党中央、国务院关于推动高质量发展的决策部署，落实市委市政府高质量发展目标要求，全面提升知识产权创造、运用、保护、管理和服务能力，营造良好知识产权保护环境，根据上级有关规定，结合我市实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制定本意见。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《太仓市知识产权高质量发展若干政策暂行办法》(太政发〔2019〕53号)有效期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满。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起草</w:t>
      </w:r>
      <w:r>
        <w:rPr>
          <w:rFonts w:ascii="黑体" w:hAnsi="黑体" w:eastAsia="黑体"/>
          <w:sz w:val="32"/>
          <w:szCs w:val="32"/>
        </w:rPr>
        <w:t>过程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规范性文件制定规程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月份市场监管局党委召开专题会议，启动拟定《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意见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》工作；将《关于促进太仓市知识产权高质量发展若干政策意见》申请纳入202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年太仓市政府行政规范性文件制定计划，并就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知识产权政策情况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开展调研，向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知识产权战略实施联席会议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成员单位、企业征求意见和建议。形成初稿后，张展副市长专题听取汇报，并提出工作要求。根据反馈情况进行深入研究与内容完善，最终形成审议稿。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主要</w:t>
      </w:r>
      <w:r>
        <w:rPr>
          <w:rFonts w:ascii="黑体" w:hAnsi="黑体" w:eastAsia="黑体"/>
          <w:sz w:val="32"/>
          <w:szCs w:val="32"/>
        </w:rPr>
        <w:t>内容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《意见》共分七项、二十一条。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（一）鼓励知识产权创造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政策制定旨在激发企业提升专利申请质量，重视专利创造工作。对获得中国专利奖、江苏省专利奖、苏州市专利奖的企业单位个人给予奖励。鼓励企业加强国外专利布局。企业获国外发明专利授权、国际商标注册给予一定奖励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zh-TW" w:eastAsia="zh-CN"/>
        </w:rPr>
        <w:t>（二）促进知识产权运用。政策制定为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TW" w:eastAsia="zh-CN"/>
        </w:rPr>
        <w:t>引导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企业以合法拥有的专利权、商标权中的财产权经评估作为质押物从银行获得贷款，帮助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"https://baike.so.com/doc/6527577-6741309.html" \t "https://baike.so.com/doc/_blank" </w:instrTex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企业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解决因缺少不动产担保而带来的资金紧张难题。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对企业符合条件的知识产权质押融资，给予奖励。对本市知识产权质押融资金额和项目数排名靠前的银行业金融机构，择优给予表彰并奖励。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（三）强化知识产权保护。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政策制定对企业在知识产权维权中胜诉的奖励。鼓励企业依据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《商标法》、《专利法》、等法律法规文件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主动维权，保护自主知识产权。政策支持企业购买知识产权保险。通过保险产品降低与分散企业用于保护、创造、维权等环节的成本，有助于促进企业创新资源向知识产权转化运用集聚，为企业特别是中小企业提供风险保障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（四）完善知识产权管理。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推进知识产权贯标工作、强企培育、项目申报和人才培育工作。企业通过完成《企业知识产权管理规范》创建、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知识产权强企建设，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提升企业知识产权综合管理水平。支持发动企业开展项目申报，通过承担项目完成知识产权目标任务，不断提高知识产权管理水平。加强知识产权人才队伍建设，增强企业核心竞争力，助推全县经济高质量发展。推进知识产权示范试点创建服务工作，引导先进地区、高校科研院所开展知识产权创建服务工作，发挥引领作用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促进地方知识产权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高质量发展。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（五）培育知识产权服务业。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政策制定旨在加强对我市专利代理机构绩效评价管理，促进专利代理机构规范化、品牌化建设，营造竞争有序的知识产权服务市场氛围。通过政策激励，引导专利代理机构增强服务意识、规范服务流程、加强能力建设、提高服务水平，不断引进和培育知识产权服务人才，更好地为我市深入实施创新驱动战略、知识产权强市建设，提供高水平高质量的服务支撑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（六）提高知识产权服务能力。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每年在专项经费中安排经费，用于知识产权宣传培训、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平台建设、统计分析、维权援助、高价值发明专利培育、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执法和专利管理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根据上年度区镇知识产权工作实绩，采用赋分法对区镇综合实力提升给予奖励，鼓励区镇加大知识产权工作投入，经费用于本区域知识产权高质量发展。奖励由太仓市市场监督管理局负责考核并实施。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（七）其他事项。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对申请人、申报时间、审核程序、提交材料等事项提出了具体要求，明确了申请人按照要求进行征信，强调了对涉及等违法违规的行为给予相应处理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。明确了政策实施期限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0" w:h="16840"/>
      <w:pgMar w:top="2098" w:right="1474" w:bottom="1985" w:left="1474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AC6CC"/>
    <w:multiLevelType w:val="singleLevel"/>
    <w:tmpl w:val="932AC6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1478"/>
    <w:rsid w:val="10861F69"/>
    <w:rsid w:val="12081042"/>
    <w:rsid w:val="18445479"/>
    <w:rsid w:val="20581478"/>
    <w:rsid w:val="2FA2130E"/>
    <w:rsid w:val="30064124"/>
    <w:rsid w:val="540C1EA6"/>
    <w:rsid w:val="65BA072A"/>
    <w:rsid w:val="6D7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paragraphindent"/>
    <w:basedOn w:val="1"/>
    <w:qFormat/>
    <w:uiPriority w:val="99"/>
    <w:pPr>
      <w:widowControl/>
      <w:spacing w:before="100" w:beforeAutospacing="1" w:after="100" w:afterAutospacing="1" w:line="288" w:lineRule="atLeast"/>
      <w:ind w:firstLine="480"/>
      <w:jc w:val="left"/>
    </w:pPr>
    <w:rPr>
      <w:rFonts w:ascii="微软雅黑" w:hAnsi="微软雅黑" w:cs="微软雅黑"/>
      <w:kern w:val="0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2023-02-21T03:41:00Z</dcterms:created>
  <dc:creator>张震力</dc:creator>
  <cp:lastModifiedBy>张震力</cp:lastModifiedBy>
  <cp:lastPrinted>2023-02-21T09:10:34Z</cp:lastPrinted>
  <dcterms:modified xsi:type="dcterms:W3CDTF">2023-02-21T09:31:10Z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16A28C370EAD415199F121A0B375D170</vt:lpwstr>
  </property>
</Properties>
</file>