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太仓市市级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公共文化发展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专项资金管理办法</w:t>
      </w: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  <w:lang w:eastAsia="zh-CN"/>
        </w:rPr>
        <w:t>（征求意见稿）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为规范太仓市市级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公共文化发展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管理和使用，提高资金使用效益，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根据《中华人民共和国预算法》、《江苏省财政监督条例》、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太仓市市级财政专项资金管理办法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太政规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、《太仓市市级公共文化发展专项资金使用办法》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太政办规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号）等规定，结合我市实际，制定本办法。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本办法所称的太仓市市级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公共文化发展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专项资金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（以下简称“专项资金”）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，是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由市级财政结合上级资金设立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，专项用于支持我市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公共文化服务体系建设，促进基本公共文化标准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化、均等化、保障群众基本公共文化权益，推动乡村文化振兴的项目资金。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专项资金的使用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必须符合法律法规、相关政策规定，遵循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统筹安排、保障基本、注重绩效、公开透明、专款专用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太仓市财政局（以下简称“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市财政局”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）、太仓市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文体广电和旅游局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（以下简称“市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文体广旅局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”）、区镇、专项资金使用单位按职责分工负责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管理、监督和使用工作。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市财政局履行以下职责：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（一）会同市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制定和修订专项资金管理办法；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（二）配合市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研究制定和健全专项资金的相关政策、具体管理制度等；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（三）审核年度专项资金预算并按规定程序报送、下达、批复，配合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按规定及时拨付资金；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（四）对专项资金进行绩效管理，对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提交的绩效报告进行审核和组织评价；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（五）从资金使用效益和财务合规角度，对专项资金使用情况和财务管理情况进行监督；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（六）监督专项资金信息公开工作；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（七）法律、法规、规章等规定的其他职责。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履行以下职责：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（一）配合市财政局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制定和修订专项资金管理办法；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财政局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研究制定和健全专项资金的具体政策、相关管理制度等；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编制专项资金年度预算、做好中期预算分析调整、执行已批复的专项资金预算，保障专项资金预算执行进度；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受理相关单位专项资金使用申请、牵头组织评审、对申请主体、申报材料的真实、合法、合规性进行审查；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负责编制专项资金绩效目标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按照绩效管理要求，对专项资金实施绩效跟踪和绩效评价；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规范使用已下达的专项资金，监督专项资金支出的项目实施情况，按规定向市财政局报送专项资金使用情况；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（七）按政府信息公开有关规定开展专项资金信息公开工作；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（八）法律、法规、规章等规定的其他职责。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区镇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履行以下职责：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（一）负责组织本地区专项资金申报及材料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、对下达的专项资金进行拨付等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工作；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做好项目验收、绩效评价等工作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（三）法律、法规、规章规定的其他职责。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hint="default" w:eastAsia="黑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专项资金使用范围：公共文化设施运行与管理、公共文化活动、公共文化产品和服务购买、文化惠民补贴、文化人才队伍建设、文化艺术产品生产、文化宣传、创建及品牌建设。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专项资金实行预算管理。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编制年度专项资金预算，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到批复之日起20日内予以公开，并制订年度使用计划。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市文体广旅局通过以奖代补、政府购买服务等方式，根据合同或相关奖励文件规定执行。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专项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以奖代补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每年度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经相关单位申报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，涉及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区镇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的由区镇做好材料归集、初步审核工作并上报市文体广旅局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由市文体广旅局审核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奖补资金项目和金额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提交市财政局申请资金下达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；未涉及区镇的由市文体广旅局审核确定项目奖补资金，市财政局按照市文体广旅局审核后的项目和金额进行资金下达。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项目涉及政府采购的，要严格按照政府采购有关制度规定执行。形成的固定资产要及时入账并加强日常管理。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应当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专款专用，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禁止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用于各种罚款、捐款、赞助、投资等支出，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不得用于工资福利和公用经费等一般性支出，不得用于偿还债务，不得用于国家规定禁止列支的其他支出。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建立专项资金绩效目标管理机制和绩效评价体系，对专项资金开展全过程绩效管理，组织开展年度绩效评价，评价结果作为专项资金扶持政策调整和预算安排的重要依据。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市财政局、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区镇应当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加强对专项资金管理使用情况的日常监督。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专项资金使用相关单位应当按照规定用途使用专项资金，自觉接受市财政局、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、市审计局等部门的监督检查。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违反本办法规定的行为，《中华人民共和国预算法》《财政违法行为处罚处分条例》等法律、法规已有处罚规定的，按其规定处罚。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财政专项资金申报单位和个人以虚报、冒领等手段骗取财政专项资金的，由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规定向相关信用信息平台提交信用记录并责令改正、调整有关会计账目，追回有关财政资金，限期追缴违法所得；情节严重的，在一至三年内不再受理其申报专项资金；构成犯罪的，及时将案件移送司法机关，依法追究刑事责任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本办法由市财政局、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市文体广旅局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负责解释。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第二十条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本办法自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日起施行，有效期3年。原《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太仓市市级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公共文化发展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专项资金管理办法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》（太财规〔201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号）同时废止。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1811024"/>
    </w:sdtPr>
    <w:sdtEndPr>
      <w:rPr>
        <w:rFonts w:hint="eastAsia" w:ascii="仿宋_GB2312" w:eastAsia="仿宋_GB2312"/>
      </w:rPr>
    </w:sdtEndPr>
    <w:sdtContent>
      <w:p>
        <w:pPr>
          <w:pStyle w:val="3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2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C9"/>
    <w:rsid w:val="000645C6"/>
    <w:rsid w:val="000655DB"/>
    <w:rsid w:val="001736C2"/>
    <w:rsid w:val="00187620"/>
    <w:rsid w:val="001974DB"/>
    <w:rsid w:val="001C12AF"/>
    <w:rsid w:val="002452F0"/>
    <w:rsid w:val="0029594D"/>
    <w:rsid w:val="002C0C13"/>
    <w:rsid w:val="002C2C64"/>
    <w:rsid w:val="002F5677"/>
    <w:rsid w:val="00367C35"/>
    <w:rsid w:val="003E1D89"/>
    <w:rsid w:val="004158D9"/>
    <w:rsid w:val="00496A31"/>
    <w:rsid w:val="004A5EA2"/>
    <w:rsid w:val="004B6611"/>
    <w:rsid w:val="00501E61"/>
    <w:rsid w:val="00532929"/>
    <w:rsid w:val="00574F9B"/>
    <w:rsid w:val="00590151"/>
    <w:rsid w:val="00626FC5"/>
    <w:rsid w:val="00647E29"/>
    <w:rsid w:val="00653244"/>
    <w:rsid w:val="006A2754"/>
    <w:rsid w:val="00720194"/>
    <w:rsid w:val="00764CC6"/>
    <w:rsid w:val="007F510E"/>
    <w:rsid w:val="00861C35"/>
    <w:rsid w:val="008A3789"/>
    <w:rsid w:val="008B0433"/>
    <w:rsid w:val="008E10C9"/>
    <w:rsid w:val="00903B28"/>
    <w:rsid w:val="009A7658"/>
    <w:rsid w:val="009C0732"/>
    <w:rsid w:val="009D0AE8"/>
    <w:rsid w:val="00AF7A28"/>
    <w:rsid w:val="00B06EF6"/>
    <w:rsid w:val="00B24098"/>
    <w:rsid w:val="00B674CF"/>
    <w:rsid w:val="00BB06C8"/>
    <w:rsid w:val="00CE755B"/>
    <w:rsid w:val="00D56A53"/>
    <w:rsid w:val="00D700A9"/>
    <w:rsid w:val="00D83C79"/>
    <w:rsid w:val="00D947C2"/>
    <w:rsid w:val="00D97C76"/>
    <w:rsid w:val="00DA0F91"/>
    <w:rsid w:val="00DA18C6"/>
    <w:rsid w:val="00E164C3"/>
    <w:rsid w:val="00E31715"/>
    <w:rsid w:val="00E719F0"/>
    <w:rsid w:val="00EB67DD"/>
    <w:rsid w:val="00F35710"/>
    <w:rsid w:val="00F607A4"/>
    <w:rsid w:val="00F82DED"/>
    <w:rsid w:val="00F9025E"/>
    <w:rsid w:val="00FB1302"/>
    <w:rsid w:val="00FF2E96"/>
    <w:rsid w:val="05166BA3"/>
    <w:rsid w:val="055909F6"/>
    <w:rsid w:val="065B3A68"/>
    <w:rsid w:val="07053D0C"/>
    <w:rsid w:val="07390387"/>
    <w:rsid w:val="09B867D5"/>
    <w:rsid w:val="123E2D70"/>
    <w:rsid w:val="150A6F43"/>
    <w:rsid w:val="17374150"/>
    <w:rsid w:val="1A75495E"/>
    <w:rsid w:val="1A830D02"/>
    <w:rsid w:val="1DF601E3"/>
    <w:rsid w:val="1EC31A54"/>
    <w:rsid w:val="1FDF089B"/>
    <w:rsid w:val="205A155E"/>
    <w:rsid w:val="209568AB"/>
    <w:rsid w:val="228F03F5"/>
    <w:rsid w:val="2A8F1805"/>
    <w:rsid w:val="2DB17914"/>
    <w:rsid w:val="318303EA"/>
    <w:rsid w:val="339A5347"/>
    <w:rsid w:val="389749A2"/>
    <w:rsid w:val="3D581D62"/>
    <w:rsid w:val="46C64104"/>
    <w:rsid w:val="47FE7928"/>
    <w:rsid w:val="48567221"/>
    <w:rsid w:val="494801BC"/>
    <w:rsid w:val="4F9C6D1B"/>
    <w:rsid w:val="50A047CC"/>
    <w:rsid w:val="54E413C7"/>
    <w:rsid w:val="55925245"/>
    <w:rsid w:val="58E446C9"/>
    <w:rsid w:val="5CA755D2"/>
    <w:rsid w:val="5D703919"/>
    <w:rsid w:val="5E6E72F3"/>
    <w:rsid w:val="5EFA052B"/>
    <w:rsid w:val="62FC72F4"/>
    <w:rsid w:val="65597BBE"/>
    <w:rsid w:val="6D5073D9"/>
    <w:rsid w:val="758B18C0"/>
    <w:rsid w:val="77D06C57"/>
    <w:rsid w:val="79EC5A09"/>
    <w:rsid w:val="7A8A65F1"/>
    <w:rsid w:val="7B1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442</Words>
  <Characters>2521</Characters>
  <Lines>21</Lines>
  <Paragraphs>5</Paragraphs>
  <TotalTime>0</TotalTime>
  <ScaleCrop>false</ScaleCrop>
  <LinksUpToDate>false</LinksUpToDate>
  <CharactersWithSpaces>2958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2021-09-27T07:54:00Z</dcterms:created>
  <dc:creator>Windows User</dc:creator>
  <cp:lastModifiedBy>tcczj-408</cp:lastModifiedBy>
  <cp:lastPrinted>2021-09-27T07:32:00Z</cp:lastPrinted>
  <dcterms:modified xsi:type="dcterms:W3CDTF">2023-11-13T08:21:51Z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87072E3A04114C3C8671CC4303F633AA</vt:lpwstr>
  </property>
</Properties>
</file>