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AAF5F3">
      <w:pPr>
        <w:widowControl w:val="0"/>
        <w:spacing w:line="540" w:lineRule="exact"/>
        <w:jc w:val="center"/>
        <w:rPr>
          <w:rFonts w:eastAsia="方正小标宋简体"/>
          <w:spacing w:val="-4"/>
          <w:sz w:val="44"/>
          <w:szCs w:val="44"/>
          <w:highlight w:val="none"/>
        </w:rPr>
      </w:pPr>
      <w:bookmarkStart w:id="0" w:name="_GoBack"/>
      <w:bookmarkEnd w:id="0"/>
      <w:r>
        <w:rPr>
          <w:rFonts w:eastAsia="方正小标宋简体"/>
          <w:spacing w:val="-4"/>
          <w:sz w:val="44"/>
          <w:szCs w:val="44"/>
          <w:highlight w:val="none"/>
        </w:rPr>
        <w:t>太仓市城市更新行动工作方案</w:t>
      </w:r>
    </w:p>
    <w:p w14:paraId="74AA6CC0">
      <w:pPr>
        <w:widowControl w:val="0"/>
        <w:spacing w:line="540" w:lineRule="exact"/>
        <w:jc w:val="center"/>
        <w:rPr>
          <w:rFonts w:eastAsia="楷体_GB2312"/>
          <w:spacing w:val="-4"/>
          <w:sz w:val="32"/>
          <w:szCs w:val="32"/>
          <w:highlight w:val="none"/>
        </w:rPr>
      </w:pPr>
      <w:r>
        <w:rPr>
          <w:rFonts w:eastAsia="楷体_GB2312"/>
          <w:spacing w:val="-4"/>
          <w:sz w:val="32"/>
          <w:szCs w:val="32"/>
          <w:highlight w:val="none"/>
        </w:rPr>
        <w:t>（</w:t>
      </w:r>
      <w:r>
        <w:rPr>
          <w:rFonts w:hint="eastAsia" w:eastAsia="楷体_GB2312"/>
          <w:spacing w:val="-4"/>
          <w:sz w:val="32"/>
          <w:szCs w:val="32"/>
          <w:highlight w:val="none"/>
          <w:lang w:val="en-US" w:eastAsia="zh-CN"/>
        </w:rPr>
        <w:t>征求意见</w:t>
      </w:r>
      <w:r>
        <w:rPr>
          <w:rFonts w:hint="eastAsia" w:eastAsia="楷体_GB2312"/>
          <w:spacing w:val="-4"/>
          <w:sz w:val="32"/>
          <w:szCs w:val="32"/>
          <w:highlight w:val="none"/>
        </w:rPr>
        <w:t>稿</w:t>
      </w:r>
      <w:r>
        <w:rPr>
          <w:rFonts w:eastAsia="楷体_GB2312"/>
          <w:spacing w:val="-4"/>
          <w:sz w:val="32"/>
          <w:szCs w:val="32"/>
          <w:highlight w:val="none"/>
        </w:rPr>
        <w:t>）</w:t>
      </w:r>
    </w:p>
    <w:p w14:paraId="491AFD28">
      <w:pPr>
        <w:widowControl w:val="0"/>
        <w:spacing w:line="540" w:lineRule="exact"/>
        <w:ind w:firstLine="624" w:firstLineChars="200"/>
        <w:rPr>
          <w:rFonts w:eastAsia="仿宋_GB2312"/>
          <w:spacing w:val="-4"/>
          <w:sz w:val="32"/>
          <w:szCs w:val="32"/>
          <w:highlight w:val="none"/>
        </w:rPr>
      </w:pPr>
    </w:p>
    <w:p w14:paraId="2B6EC7AA">
      <w:pPr>
        <w:widowControl w:val="0"/>
        <w:spacing w:line="540" w:lineRule="exact"/>
        <w:ind w:firstLine="624" w:firstLineChars="200"/>
        <w:rPr>
          <w:rFonts w:eastAsia="仿宋_GB2312"/>
          <w:spacing w:val="-4"/>
          <w:sz w:val="32"/>
          <w:szCs w:val="32"/>
          <w:highlight w:val="none"/>
        </w:rPr>
      </w:pPr>
      <w:r>
        <w:rPr>
          <w:rFonts w:eastAsia="仿宋_GB2312"/>
          <w:spacing w:val="-4"/>
          <w:sz w:val="32"/>
          <w:szCs w:val="32"/>
          <w:highlight w:val="none"/>
        </w:rPr>
        <w:t>为贯彻习近平总书记关于城市工作的重要论述，认真落实党中央、国务院关于持续推进城市更新行动的决策部署，</w:t>
      </w:r>
      <w:r>
        <w:rPr>
          <w:rFonts w:hint="eastAsia" w:eastAsia="仿宋_GB2312"/>
          <w:spacing w:val="-4"/>
          <w:sz w:val="32"/>
          <w:szCs w:val="32"/>
          <w:highlight w:val="none"/>
        </w:rPr>
        <w:t>对照《城市更新“十五五”规划》要求，结合《江苏省高质量开展城市更新行动计划（2026-2028年）》《苏州市城市更新条例》等文件精神，</w:t>
      </w:r>
      <w:r>
        <w:rPr>
          <w:rFonts w:eastAsia="仿宋_GB2312"/>
          <w:spacing w:val="-4"/>
          <w:sz w:val="32"/>
          <w:szCs w:val="32"/>
          <w:highlight w:val="none"/>
        </w:rPr>
        <w:t>统筹推进全市城市更新工作，加快建设创新、宜居、美丽、韧性、文明、智慧的现代化人民城市，结合我市实际，制定本方案。</w:t>
      </w:r>
    </w:p>
    <w:p w14:paraId="53EEA052">
      <w:pPr>
        <w:widowControl w:val="0"/>
        <w:spacing w:line="540" w:lineRule="exact"/>
        <w:ind w:firstLine="624" w:firstLineChars="200"/>
        <w:rPr>
          <w:rFonts w:eastAsia="黑体"/>
          <w:spacing w:val="-4"/>
          <w:sz w:val="32"/>
          <w:szCs w:val="32"/>
          <w:highlight w:val="none"/>
        </w:rPr>
      </w:pPr>
      <w:r>
        <w:rPr>
          <w:rFonts w:eastAsia="黑体"/>
          <w:spacing w:val="-4"/>
          <w:sz w:val="32"/>
          <w:szCs w:val="32"/>
          <w:highlight w:val="none"/>
        </w:rPr>
        <w:t>一、总体要求</w:t>
      </w:r>
    </w:p>
    <w:p w14:paraId="04894249">
      <w:pPr>
        <w:widowControl w:val="0"/>
        <w:spacing w:line="540" w:lineRule="exact"/>
        <w:ind w:firstLine="624" w:firstLineChars="200"/>
        <w:rPr>
          <w:rFonts w:eastAsia="楷体_GB2312"/>
          <w:spacing w:val="-4"/>
          <w:sz w:val="32"/>
          <w:szCs w:val="32"/>
          <w:highlight w:val="none"/>
        </w:rPr>
      </w:pPr>
      <w:r>
        <w:rPr>
          <w:rFonts w:eastAsia="楷体_GB2312"/>
          <w:spacing w:val="-4"/>
          <w:sz w:val="32"/>
          <w:szCs w:val="32"/>
          <w:highlight w:val="none"/>
        </w:rPr>
        <w:t>（一）指导思想</w:t>
      </w:r>
    </w:p>
    <w:p w14:paraId="20C08B7D">
      <w:pPr>
        <w:widowControl w:val="0"/>
        <w:spacing w:line="540" w:lineRule="exact"/>
        <w:ind w:firstLine="624" w:firstLineChars="200"/>
        <w:rPr>
          <w:rFonts w:eastAsia="仿宋_GB2312"/>
          <w:spacing w:val="-4"/>
          <w:sz w:val="32"/>
          <w:szCs w:val="32"/>
          <w:highlight w:val="none"/>
        </w:rPr>
      </w:pPr>
      <w:r>
        <w:rPr>
          <w:rFonts w:eastAsia="仿宋_GB2312"/>
          <w:spacing w:val="-4"/>
          <w:sz w:val="32"/>
          <w:szCs w:val="32"/>
          <w:highlight w:val="none"/>
        </w:rPr>
        <w:t>以习近平新时代中国特色社会主义思想为指导，深入贯彻党的二十大和二十届历次全会精神，坚持以人民为中心的发展思想，践行“人民城市人民建，人民城市为人民”重要理念，以城市更新引领城市开发建设方式转变，聚焦优化结构布局、提升功能品质、补齐设施短板、保护历史文化、彰显风貌特色、推进产城融合等重点，推动构建房地产发展新模式，加快城市建设方式由外延粗放向内涵集约转变，从</w:t>
      </w:r>
      <w:r>
        <w:rPr>
          <w:rFonts w:eastAsia="仿宋_GB2312"/>
          <w:snapToGrid w:val="0"/>
          <w:spacing w:val="-4"/>
          <w:kern w:val="0"/>
          <w:sz w:val="32"/>
          <w:szCs w:val="32"/>
          <w:highlight w:val="none"/>
          <w:lang w:bidi="zh-CN"/>
        </w:rPr>
        <w:t>高速发展向高质量发展转变，</w:t>
      </w:r>
      <w:r>
        <w:rPr>
          <w:rFonts w:eastAsia="仿宋_GB2312"/>
          <w:spacing w:val="-4"/>
          <w:sz w:val="32"/>
          <w:szCs w:val="32"/>
          <w:highlight w:val="none"/>
        </w:rPr>
        <w:t>切实增强群众的获得感、幸福感、安全感，为</w:t>
      </w:r>
      <w:r>
        <w:rPr>
          <w:rFonts w:hint="eastAsia" w:eastAsia="仿宋_GB2312"/>
          <w:spacing w:val="-4"/>
          <w:sz w:val="32"/>
          <w:szCs w:val="32"/>
          <w:highlight w:val="none"/>
        </w:rPr>
        <w:t>丰富拓展“现代田园城 幸福金太仓”新时代内涵</w:t>
      </w:r>
      <w:r>
        <w:rPr>
          <w:rFonts w:eastAsia="仿宋_GB2312"/>
          <w:spacing w:val="-4"/>
          <w:sz w:val="32"/>
          <w:szCs w:val="32"/>
          <w:highlight w:val="none"/>
        </w:rPr>
        <w:t>提供强有力的支撑和保障。</w:t>
      </w:r>
    </w:p>
    <w:p w14:paraId="15B41141">
      <w:pPr>
        <w:widowControl w:val="0"/>
        <w:spacing w:line="540" w:lineRule="exact"/>
        <w:ind w:firstLine="624" w:firstLineChars="200"/>
        <w:rPr>
          <w:rFonts w:eastAsia="楷体_GB2312"/>
          <w:spacing w:val="-4"/>
          <w:sz w:val="32"/>
          <w:szCs w:val="32"/>
          <w:highlight w:val="none"/>
        </w:rPr>
      </w:pPr>
      <w:r>
        <w:rPr>
          <w:rFonts w:eastAsia="楷体_GB2312"/>
          <w:spacing w:val="-4"/>
          <w:sz w:val="32"/>
          <w:szCs w:val="32"/>
          <w:highlight w:val="none"/>
        </w:rPr>
        <w:t>（二）工作目标</w:t>
      </w:r>
    </w:p>
    <w:p w14:paraId="3806B218">
      <w:pPr>
        <w:widowControl w:val="0"/>
        <w:spacing w:line="540" w:lineRule="exact"/>
        <w:ind w:firstLine="624" w:firstLineChars="200"/>
        <w:rPr>
          <w:rFonts w:eastAsia="仿宋_GB2312"/>
          <w:spacing w:val="-4"/>
          <w:sz w:val="32"/>
          <w:szCs w:val="32"/>
          <w:highlight w:val="none"/>
        </w:rPr>
      </w:pPr>
      <w:r>
        <w:rPr>
          <w:rFonts w:eastAsia="仿宋_GB2312"/>
          <w:spacing w:val="-4"/>
          <w:sz w:val="32"/>
          <w:szCs w:val="32"/>
          <w:highlight w:val="none"/>
        </w:rPr>
        <w:t>通过合理划定城市更新片区，启动和完成一批具有代表性示范效应的城市更新项目，补齐城市短板、解决城市突出问题。探索建立城市更新工作机制、实施模式、政策措施、技术方法和管理制度等。到2028年，城市更新工作取得明显成效；到2030年，进一步形成具有太仓特色的城市更新体制机制，城市发展短板基本补齐，城市综合功能明显增强，创新、宜居、美丽、韧性、文明、智慧城市建设水平全面提高。</w:t>
      </w:r>
    </w:p>
    <w:p w14:paraId="73EB277F">
      <w:pPr>
        <w:widowControl w:val="0"/>
        <w:spacing w:line="540" w:lineRule="exact"/>
        <w:ind w:firstLine="624" w:firstLineChars="200"/>
        <w:rPr>
          <w:rFonts w:eastAsia="楷体_GB2312"/>
          <w:spacing w:val="-4"/>
          <w:sz w:val="32"/>
          <w:szCs w:val="32"/>
          <w:highlight w:val="none"/>
        </w:rPr>
      </w:pPr>
      <w:r>
        <w:rPr>
          <w:rFonts w:eastAsia="楷体_GB2312"/>
          <w:spacing w:val="-4"/>
          <w:sz w:val="32"/>
          <w:szCs w:val="32"/>
          <w:highlight w:val="none"/>
        </w:rPr>
        <w:t>（三）基本原则</w:t>
      </w:r>
    </w:p>
    <w:p w14:paraId="1F5718BE">
      <w:pPr>
        <w:widowControl w:val="0"/>
        <w:spacing w:line="540" w:lineRule="exact"/>
        <w:ind w:firstLine="627" w:firstLineChars="200"/>
        <w:rPr>
          <w:rFonts w:eastAsia="仿宋_GB2312"/>
          <w:b/>
          <w:bCs/>
          <w:spacing w:val="-4"/>
          <w:sz w:val="32"/>
          <w:szCs w:val="32"/>
          <w:highlight w:val="none"/>
        </w:rPr>
      </w:pPr>
      <w:r>
        <w:rPr>
          <w:rFonts w:eastAsia="仿宋_GB2312"/>
          <w:b/>
          <w:bCs/>
          <w:spacing w:val="-4"/>
          <w:sz w:val="32"/>
          <w:szCs w:val="32"/>
          <w:highlight w:val="none"/>
        </w:rPr>
        <w:t>1. 系统推进，统筹实施。</w:t>
      </w:r>
      <w:r>
        <w:rPr>
          <w:rFonts w:eastAsia="仿宋_GB2312"/>
          <w:spacing w:val="-4"/>
          <w:sz w:val="32"/>
          <w:szCs w:val="32"/>
          <w:highlight w:val="none"/>
        </w:rPr>
        <w:t>以《苏州市城市更新条例》为纲领，构建“规划-项目-政策-行动”全链条工作体系。将城市作为有机生命体，对城市更新进行整体谋划，建立“城市体检精准诊断、专项规划科学引领、项目库动态管理、年度计划分步实施”的闭环机制。结合城市发展实际，紧扣城市发展战略和功能定位因地制宜、统筹推进，激发城市可持续发展动能。</w:t>
      </w:r>
    </w:p>
    <w:p w14:paraId="6B5CF030">
      <w:pPr>
        <w:widowControl w:val="0"/>
        <w:spacing w:line="540" w:lineRule="exact"/>
        <w:ind w:firstLine="627" w:firstLineChars="200"/>
        <w:rPr>
          <w:rFonts w:eastAsia="仿宋_GB2312"/>
          <w:spacing w:val="-4"/>
          <w:sz w:val="32"/>
          <w:szCs w:val="32"/>
          <w:highlight w:val="none"/>
        </w:rPr>
      </w:pPr>
      <w:r>
        <w:rPr>
          <w:rFonts w:eastAsia="仿宋_GB2312"/>
          <w:b/>
          <w:bCs/>
          <w:spacing w:val="-4"/>
          <w:sz w:val="32"/>
          <w:szCs w:val="32"/>
          <w:highlight w:val="none"/>
        </w:rPr>
        <w:t>2. 以人为本，民生优先。</w:t>
      </w:r>
      <w:r>
        <w:rPr>
          <w:rFonts w:eastAsia="仿宋_GB2312"/>
          <w:spacing w:val="-4"/>
          <w:sz w:val="32"/>
          <w:szCs w:val="32"/>
          <w:highlight w:val="none"/>
        </w:rPr>
        <w:t>以保障公共安全、提升民生福祉为根本导向，实施危旧房解危、城市生命线安全建设工程，重点解决人民群众急难愁盼问题，推进“一老一小”设施、无障碍设施、社区嵌入式服务设施建设等“惠民生”项目，补齐城市发展短板，解决好“城市病”，努力为人民群众创造高品质生活空间，建设“全龄友好”城市。</w:t>
      </w:r>
    </w:p>
    <w:p w14:paraId="67773FFF">
      <w:pPr>
        <w:widowControl w:val="0"/>
        <w:spacing w:line="540" w:lineRule="exact"/>
        <w:ind w:firstLine="627" w:firstLineChars="200"/>
        <w:rPr>
          <w:rFonts w:eastAsia="仿宋_GB2312"/>
          <w:spacing w:val="-4"/>
          <w:sz w:val="32"/>
          <w:szCs w:val="32"/>
          <w:highlight w:val="none"/>
        </w:rPr>
      </w:pPr>
      <w:r>
        <w:rPr>
          <w:rFonts w:eastAsia="仿宋_GB2312"/>
          <w:b/>
          <w:bCs/>
          <w:spacing w:val="-4"/>
          <w:sz w:val="32"/>
          <w:szCs w:val="32"/>
          <w:highlight w:val="none"/>
        </w:rPr>
        <w:t>3. 政策赋能，多元协同。</w:t>
      </w:r>
      <w:r>
        <w:rPr>
          <w:rFonts w:eastAsia="仿宋_GB2312"/>
          <w:spacing w:val="-4"/>
          <w:sz w:val="32"/>
          <w:szCs w:val="32"/>
          <w:highlight w:val="none"/>
        </w:rPr>
        <w:t>紧抓超长期特别国债、中央预算内投资、地方政府专项债券等政策机遇，深化“江苏省城新贷”等金融工具创新应用，建立“政策包+项目库”联动机制。加强跨部门协同，</w:t>
      </w:r>
      <w:r>
        <w:rPr>
          <w:rFonts w:hint="eastAsia" w:eastAsia="仿宋_GB2312"/>
          <w:spacing w:val="-4"/>
          <w:sz w:val="32"/>
          <w:szCs w:val="32"/>
          <w:highlight w:val="none"/>
        </w:rPr>
        <w:t>市政府</w:t>
      </w:r>
      <w:r>
        <w:rPr>
          <w:rFonts w:eastAsia="仿宋_GB2312"/>
          <w:spacing w:val="-4"/>
          <w:sz w:val="32"/>
          <w:szCs w:val="32"/>
          <w:highlight w:val="none"/>
        </w:rPr>
        <w:t>统筹发改、财政、资规、住建等部门职能，引导社会资本参与，</w:t>
      </w:r>
      <w:r>
        <w:rPr>
          <w:rFonts w:hint="eastAsia" w:eastAsia="仿宋_GB2312"/>
          <w:spacing w:val="-4"/>
          <w:sz w:val="32"/>
          <w:szCs w:val="32"/>
          <w:highlight w:val="none"/>
        </w:rPr>
        <w:t>鼓励开展自主更新，</w:t>
      </w:r>
      <w:r>
        <w:rPr>
          <w:rFonts w:eastAsia="仿宋_GB2312"/>
          <w:spacing w:val="-4"/>
          <w:sz w:val="32"/>
          <w:szCs w:val="32"/>
          <w:highlight w:val="none"/>
        </w:rPr>
        <w:t>形成“政府主导、市场运作、公众参与”的多元共建格局。</w:t>
      </w:r>
    </w:p>
    <w:p w14:paraId="64DEFC77">
      <w:pPr>
        <w:widowControl w:val="0"/>
        <w:spacing w:line="540" w:lineRule="exact"/>
        <w:ind w:firstLine="627" w:firstLineChars="200"/>
        <w:rPr>
          <w:rFonts w:eastAsia="仿宋_GB2312"/>
          <w:spacing w:val="-4"/>
          <w:sz w:val="32"/>
          <w:szCs w:val="32"/>
          <w:highlight w:val="none"/>
        </w:rPr>
      </w:pPr>
      <w:r>
        <w:rPr>
          <w:rFonts w:eastAsia="仿宋_GB2312"/>
          <w:b/>
          <w:bCs/>
          <w:spacing w:val="-4"/>
          <w:sz w:val="32"/>
          <w:szCs w:val="32"/>
          <w:highlight w:val="none"/>
        </w:rPr>
        <w:t>4. 面向实施，推动发展。</w:t>
      </w:r>
      <w:r>
        <w:rPr>
          <w:rFonts w:eastAsia="仿宋_GB2312"/>
          <w:spacing w:val="-4"/>
          <w:sz w:val="32"/>
          <w:szCs w:val="32"/>
          <w:highlight w:val="none"/>
        </w:rPr>
        <w:t>坚持问题导向和目标导向相统一，尊重城市发展规律和市场运行规律，顺应发展动能转换和产业结构升级要求，坚持适度超前，不过度超前，以需求为牵引、以项目为载体，统筹推进更新项目的储备、生成与实施，持续增强城市发展的内生动力和综合竞争力。突出城市更新示范带动作用，建立健全“专项规划-片区策划-项目实施方案”相衔接的规划实施体系，优化土地、资金、空间、人才等各类资源配置，完善实施保障机制，切实提高项目落地率和实施质量，推动形成可复制可推广的经验。</w:t>
      </w:r>
    </w:p>
    <w:p w14:paraId="59885179">
      <w:pPr>
        <w:widowControl w:val="0"/>
        <w:spacing w:line="540" w:lineRule="exact"/>
        <w:ind w:firstLine="624" w:firstLineChars="200"/>
        <w:rPr>
          <w:rFonts w:eastAsia="仿宋_GB2312"/>
          <w:spacing w:val="-4"/>
          <w:sz w:val="32"/>
          <w:szCs w:val="32"/>
          <w:highlight w:val="none"/>
        </w:rPr>
      </w:pPr>
      <w:r>
        <w:rPr>
          <w:rFonts w:eastAsia="黑体"/>
          <w:spacing w:val="-4"/>
          <w:sz w:val="32"/>
          <w:szCs w:val="32"/>
          <w:highlight w:val="none"/>
        </w:rPr>
        <w:t>二、重点任务</w:t>
      </w:r>
    </w:p>
    <w:p w14:paraId="6E12E550">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w:t>
      </w:r>
      <w:r>
        <w:rPr>
          <w:rFonts w:hint="eastAsia" w:eastAsia="楷体_GB2312"/>
          <w:spacing w:val="-4"/>
          <w:sz w:val="32"/>
          <w:szCs w:val="32"/>
          <w:highlight w:val="none"/>
        </w:rPr>
        <w:t>一</w:t>
      </w:r>
      <w:r>
        <w:rPr>
          <w:rFonts w:eastAsia="楷体_GB2312"/>
          <w:spacing w:val="-4"/>
          <w:sz w:val="32"/>
          <w:szCs w:val="32"/>
          <w:highlight w:val="none"/>
        </w:rPr>
        <w:t>）实施</w:t>
      </w:r>
      <w:r>
        <w:rPr>
          <w:rFonts w:hint="eastAsia" w:eastAsia="楷体_GB2312"/>
          <w:spacing w:val="-4"/>
          <w:sz w:val="32"/>
          <w:szCs w:val="32"/>
          <w:highlight w:val="none"/>
        </w:rPr>
        <w:t>城镇</w:t>
      </w:r>
      <w:r>
        <w:rPr>
          <w:rFonts w:eastAsia="楷体_GB2312"/>
          <w:spacing w:val="-4"/>
          <w:sz w:val="32"/>
          <w:szCs w:val="32"/>
          <w:highlight w:val="none"/>
        </w:rPr>
        <w:t>老旧小区改造工程。</w:t>
      </w:r>
      <w:r>
        <w:rPr>
          <w:rFonts w:hint="eastAsia" w:ascii="仿宋_GB2312" w:hAnsi="仿宋_GB2312" w:eastAsia="仿宋_GB2312" w:cs="仿宋_GB2312"/>
          <w:spacing w:val="-4"/>
          <w:sz w:val="32"/>
          <w:szCs w:val="32"/>
          <w:highlight w:val="none"/>
        </w:rPr>
        <w:t>推动2005年底前建成的城镇老旧小区逐步改造，统筹完善适老、适儿、无障碍、停车、充电、消防等基础设施，支持既有建筑加装（更新）电梯，加强物业管理。</w:t>
      </w:r>
      <w:r>
        <w:rPr>
          <w:rFonts w:eastAsia="仿宋_GB2312"/>
          <w:spacing w:val="-4"/>
          <w:sz w:val="32"/>
          <w:szCs w:val="32"/>
          <w:highlight w:val="none"/>
        </w:rPr>
        <w:t>尊重居民意愿，按照自下而上、居民自愿的思路，建立健全群众参与、评价、反馈的良性沟通机制。</w:t>
      </w:r>
      <w:r>
        <w:rPr>
          <w:rFonts w:hint="eastAsia" w:eastAsia="仿宋_GB2312"/>
          <w:spacing w:val="-4"/>
          <w:sz w:val="32"/>
          <w:szCs w:val="32"/>
          <w:highlight w:val="none"/>
        </w:rPr>
        <w:t>鼓励开展老旧住房自主更新，可运用提高容积率、增配公共服务设施、允许缴存人家庭提取住房公积金并提高贷款额度、提供财政补贴等方式支持自主更新。</w:t>
      </w:r>
    </w:p>
    <w:p w14:paraId="58676648">
      <w:pPr>
        <w:widowControl w:val="0"/>
        <w:spacing w:line="540" w:lineRule="exact"/>
        <w:ind w:firstLine="624" w:firstLineChars="200"/>
        <w:rPr>
          <w:rFonts w:eastAsia="楷体_GB2312"/>
          <w:spacing w:val="-4"/>
          <w:sz w:val="32"/>
          <w:szCs w:val="32"/>
          <w:highlight w:val="none"/>
        </w:rPr>
      </w:pPr>
      <w:r>
        <w:rPr>
          <w:rFonts w:eastAsia="楷体_GB2312"/>
          <w:spacing w:val="-4"/>
          <w:sz w:val="32"/>
          <w:szCs w:val="32"/>
          <w:highlight w:val="none"/>
        </w:rPr>
        <w:t>（</w:t>
      </w:r>
      <w:r>
        <w:rPr>
          <w:rFonts w:hint="eastAsia" w:eastAsia="楷体_GB2312"/>
          <w:spacing w:val="-4"/>
          <w:sz w:val="32"/>
          <w:szCs w:val="32"/>
          <w:highlight w:val="none"/>
        </w:rPr>
        <w:t>二</w:t>
      </w:r>
      <w:r>
        <w:rPr>
          <w:rFonts w:eastAsia="楷体_GB2312"/>
          <w:spacing w:val="-4"/>
          <w:sz w:val="32"/>
          <w:szCs w:val="32"/>
          <w:highlight w:val="none"/>
        </w:rPr>
        <w:t>）实施</w:t>
      </w:r>
      <w:r>
        <w:rPr>
          <w:rFonts w:hint="eastAsia" w:eastAsia="楷体_GB2312"/>
          <w:spacing w:val="-4"/>
          <w:sz w:val="32"/>
          <w:szCs w:val="32"/>
          <w:highlight w:val="none"/>
        </w:rPr>
        <w:t>老旧街区</w:t>
      </w:r>
      <w:r>
        <w:rPr>
          <w:rFonts w:hint="eastAsia" w:eastAsia="楷体_GB2312"/>
          <w:spacing w:val="-4"/>
          <w:sz w:val="32"/>
          <w:szCs w:val="32"/>
          <w:highlight w:val="none"/>
          <w:lang w:eastAsia="zh-CN"/>
        </w:rPr>
        <w:t>、</w:t>
      </w:r>
      <w:r>
        <w:rPr>
          <w:rFonts w:hint="eastAsia" w:eastAsia="楷体_GB2312"/>
          <w:spacing w:val="-4"/>
          <w:sz w:val="32"/>
          <w:szCs w:val="32"/>
          <w:highlight w:val="none"/>
        </w:rPr>
        <w:t>厂区</w:t>
      </w:r>
      <w:r>
        <w:rPr>
          <w:rFonts w:eastAsia="楷体_GB2312"/>
          <w:spacing w:val="-4"/>
          <w:sz w:val="32"/>
          <w:szCs w:val="32"/>
          <w:highlight w:val="none"/>
        </w:rPr>
        <w:t>活力提升工程。</w:t>
      </w:r>
      <w:r>
        <w:rPr>
          <w:rFonts w:eastAsia="仿宋_GB2312"/>
          <w:spacing w:val="-4"/>
          <w:sz w:val="32"/>
          <w:szCs w:val="32"/>
          <w:highlight w:val="none"/>
        </w:rPr>
        <w:t>推动</w:t>
      </w:r>
      <w:r>
        <w:rPr>
          <w:rFonts w:hint="eastAsia" w:eastAsia="仿宋_GB2312"/>
          <w:spacing w:val="-4"/>
          <w:sz w:val="32"/>
          <w:szCs w:val="32"/>
          <w:highlight w:val="none"/>
        </w:rPr>
        <w:t>老</w:t>
      </w:r>
      <w:r>
        <w:rPr>
          <w:rFonts w:eastAsia="仿宋_GB2312"/>
          <w:spacing w:val="-4"/>
          <w:sz w:val="32"/>
          <w:szCs w:val="32"/>
          <w:highlight w:val="none"/>
        </w:rPr>
        <w:t>旧街区功能转换、产业转型、活力提升，引入新业态、新模式，改善内外环境，完善服务设施，增设便民场所，创新消费场景，丰富旅游业态，推动产业赋能城市更新，打造一批具有太仓特色的精品街</w:t>
      </w:r>
      <w:r>
        <w:rPr>
          <w:rFonts w:hint="eastAsia" w:eastAsia="仿宋_GB2312"/>
          <w:spacing w:val="-4"/>
          <w:sz w:val="32"/>
          <w:szCs w:val="32"/>
          <w:highlight w:val="none"/>
        </w:rPr>
        <w:t>道、活力街区和特色商圈</w:t>
      </w:r>
      <w:r>
        <w:rPr>
          <w:rFonts w:eastAsia="仿宋_GB2312"/>
          <w:spacing w:val="-4"/>
          <w:sz w:val="32"/>
          <w:szCs w:val="32"/>
          <w:highlight w:val="none"/>
        </w:rPr>
        <w:t>。</w:t>
      </w:r>
      <w:r>
        <w:rPr>
          <w:rFonts w:hint="default" w:ascii="Times New Roman" w:hAnsi="Times New Roman" w:eastAsia="仿宋_GB2312" w:cs="Times New Roman"/>
          <w:b w:val="0"/>
          <w:bCs w:val="0"/>
          <w:i w:val="0"/>
          <w:iCs/>
          <w:spacing w:val="-4"/>
          <w:sz w:val="32"/>
          <w:szCs w:val="32"/>
          <w:highlight w:val="none"/>
          <w:lang w:val="en-US" w:eastAsia="zh-CN"/>
        </w:rPr>
        <w:t>推动老旧厂区更新赋能，完善厂区及周边配套设施，依据详细规划，有序实施“退二优二”“退二进三”，</w:t>
      </w:r>
      <w:r>
        <w:rPr>
          <w:rFonts w:eastAsia="仿宋_GB2312"/>
          <w:spacing w:val="-4"/>
          <w:sz w:val="32"/>
          <w:szCs w:val="32"/>
          <w:highlight w:val="none"/>
        </w:rPr>
        <w:t>鼓励以市场化方式</w:t>
      </w:r>
      <w:r>
        <w:rPr>
          <w:rFonts w:hint="eastAsia" w:eastAsia="仿宋_GB2312"/>
          <w:spacing w:val="-4"/>
          <w:sz w:val="32"/>
          <w:szCs w:val="32"/>
          <w:highlight w:val="none"/>
        </w:rPr>
        <w:t>推动老旧厂区改造提升</w:t>
      </w:r>
      <w:r>
        <w:rPr>
          <w:rFonts w:hint="eastAsia" w:eastAsia="仿宋_GB2312"/>
          <w:spacing w:val="-4"/>
          <w:sz w:val="32"/>
          <w:szCs w:val="32"/>
          <w:highlight w:val="none"/>
          <w:lang w:eastAsia="zh-CN"/>
        </w:rPr>
        <w:t>，</w:t>
      </w:r>
      <w:r>
        <w:rPr>
          <w:rFonts w:hint="eastAsia" w:ascii="Times New Roman" w:hAnsi="Times New Roman" w:eastAsia="仿宋_GB2312" w:cs="Times New Roman"/>
          <w:b w:val="0"/>
          <w:bCs w:val="0"/>
          <w:i w:val="0"/>
          <w:iCs/>
          <w:spacing w:val="-4"/>
          <w:sz w:val="32"/>
          <w:szCs w:val="32"/>
          <w:highlight w:val="none"/>
          <w:lang w:val="en-US" w:eastAsia="zh-CN"/>
        </w:rPr>
        <w:t>鼓励原土地使用权人自主或联合开发，着力盘活闲置厂房、推动低效用地再开发。支持功能兼容、混合开发、复合利用及既有建筑功能转换</w:t>
      </w:r>
      <w:r>
        <w:rPr>
          <w:rFonts w:hint="default" w:ascii="Times New Roman" w:hAnsi="Times New Roman" w:eastAsia="仿宋_GB2312" w:cs="Times New Roman"/>
          <w:b w:val="0"/>
          <w:bCs w:val="0"/>
          <w:i w:val="0"/>
          <w:iCs/>
          <w:spacing w:val="-4"/>
          <w:sz w:val="32"/>
          <w:szCs w:val="32"/>
          <w:highlight w:val="none"/>
          <w:lang w:val="en-US" w:eastAsia="zh-CN"/>
        </w:rPr>
        <w:t>。</w:t>
      </w:r>
      <w:r>
        <w:rPr>
          <w:rFonts w:eastAsia="仿宋_GB2312"/>
          <w:spacing w:val="-4"/>
          <w:sz w:val="32"/>
          <w:szCs w:val="32"/>
          <w:highlight w:val="none"/>
        </w:rPr>
        <w:t>加强工业遗产保护利用</w:t>
      </w:r>
      <w:r>
        <w:rPr>
          <w:rFonts w:hint="eastAsia" w:eastAsia="仿宋_GB2312"/>
          <w:spacing w:val="-4"/>
          <w:sz w:val="32"/>
          <w:szCs w:val="32"/>
          <w:highlight w:val="none"/>
        </w:rPr>
        <w:t>，盘活利用老旧厂区和相关设施，</w:t>
      </w:r>
      <w:r>
        <w:rPr>
          <w:rFonts w:eastAsia="仿宋_GB2312"/>
          <w:spacing w:val="-4"/>
          <w:sz w:val="32"/>
          <w:szCs w:val="32"/>
          <w:highlight w:val="none"/>
        </w:rPr>
        <w:t>植入文化创意、科技研发、互联网+等新业态</w:t>
      </w:r>
      <w:r>
        <w:rPr>
          <w:rFonts w:hint="eastAsia" w:eastAsia="仿宋_GB2312"/>
          <w:spacing w:val="-4"/>
          <w:sz w:val="32"/>
          <w:szCs w:val="32"/>
          <w:highlight w:val="none"/>
        </w:rPr>
        <w:t>。</w:t>
      </w:r>
    </w:p>
    <w:p w14:paraId="616C51CC">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w:t>
      </w:r>
      <w:r>
        <w:rPr>
          <w:rFonts w:hint="eastAsia" w:eastAsia="楷体_GB2312"/>
          <w:spacing w:val="-4"/>
          <w:sz w:val="32"/>
          <w:szCs w:val="32"/>
          <w:highlight w:val="none"/>
        </w:rPr>
        <w:t>三</w:t>
      </w:r>
      <w:r>
        <w:rPr>
          <w:rFonts w:eastAsia="楷体_GB2312"/>
          <w:spacing w:val="-4"/>
          <w:sz w:val="32"/>
          <w:szCs w:val="32"/>
          <w:highlight w:val="none"/>
        </w:rPr>
        <w:t>）实施既有建筑改造利用工程。</w:t>
      </w:r>
      <w:r>
        <w:rPr>
          <w:rFonts w:eastAsia="仿宋_GB2312"/>
          <w:spacing w:val="-4"/>
          <w:sz w:val="32"/>
          <w:szCs w:val="32"/>
          <w:highlight w:val="none"/>
        </w:rPr>
        <w:t>在做好房屋安全日常巡查和管理机制优化升级的基础上，构建房屋全生命周期安全管理闭环。稳妥推进危险住房改造，加快D级危险住房解危。通过加固修缮、改造利用，原拆原建等方式推动老旧住房自主更新，积极探索实施“老破小”成套化住房改造。加强对历史建筑</w:t>
      </w:r>
      <w:r>
        <w:rPr>
          <w:rFonts w:hint="eastAsia" w:eastAsia="仿宋_GB2312"/>
          <w:spacing w:val="-4"/>
          <w:sz w:val="32"/>
          <w:szCs w:val="32"/>
          <w:highlight w:val="none"/>
        </w:rPr>
        <w:t>、不可移动文物</w:t>
      </w:r>
      <w:r>
        <w:rPr>
          <w:rFonts w:eastAsia="仿宋_GB2312"/>
          <w:spacing w:val="-4"/>
          <w:sz w:val="32"/>
          <w:szCs w:val="32"/>
          <w:highlight w:val="none"/>
        </w:rPr>
        <w:t>及其周边环境、空间肌理的保护传承，探索有机更新。鼓励利用旧仓库、老校区、老旧楼宇</w:t>
      </w:r>
      <w:r>
        <w:rPr>
          <w:rFonts w:hint="eastAsia" w:eastAsia="仿宋_GB2312"/>
          <w:spacing w:val="-4"/>
          <w:sz w:val="32"/>
          <w:szCs w:val="32"/>
          <w:highlight w:val="none"/>
        </w:rPr>
        <w:t>等</w:t>
      </w:r>
      <w:r>
        <w:rPr>
          <w:rFonts w:eastAsia="仿宋_GB2312"/>
          <w:spacing w:val="-4"/>
          <w:sz w:val="32"/>
          <w:szCs w:val="32"/>
          <w:highlight w:val="none"/>
        </w:rPr>
        <w:t>改造建设现代公共服务和创新创业载体，建成一批催生新型消费、引领未来产业的城市街巷、创新社区，发挥存量空间新价值。</w:t>
      </w:r>
    </w:p>
    <w:p w14:paraId="138AE191">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w:t>
      </w:r>
      <w:r>
        <w:rPr>
          <w:rFonts w:hint="eastAsia" w:eastAsia="楷体_GB2312"/>
          <w:spacing w:val="-4"/>
          <w:sz w:val="32"/>
          <w:szCs w:val="32"/>
          <w:highlight w:val="none"/>
        </w:rPr>
        <w:t>四</w:t>
      </w:r>
      <w:r>
        <w:rPr>
          <w:rFonts w:eastAsia="楷体_GB2312"/>
          <w:spacing w:val="-4"/>
          <w:sz w:val="32"/>
          <w:szCs w:val="32"/>
          <w:highlight w:val="none"/>
        </w:rPr>
        <w:t>）实施城市公共服务提升工程。</w:t>
      </w:r>
      <w:r>
        <w:rPr>
          <w:rFonts w:eastAsia="仿宋_GB2312"/>
          <w:spacing w:val="-4"/>
          <w:sz w:val="32"/>
          <w:szCs w:val="32"/>
          <w:highlight w:val="none"/>
        </w:rPr>
        <w:t>优化城市空间布局，围绕城市功能完善、土地节约集约利用、居民方便宜居，优化城市结构，</w:t>
      </w:r>
      <w:r>
        <w:rPr>
          <w:rFonts w:hint="eastAsia" w:eastAsia="仿宋_GB2312"/>
          <w:spacing w:val="-4"/>
          <w:sz w:val="32"/>
          <w:szCs w:val="32"/>
          <w:highlight w:val="none"/>
        </w:rPr>
        <w:t>充分利用存量闲置房屋和低效用地，逐步补齐</w:t>
      </w:r>
      <w:r>
        <w:rPr>
          <w:rFonts w:eastAsia="仿宋_GB2312"/>
          <w:spacing w:val="-4"/>
          <w:sz w:val="32"/>
          <w:szCs w:val="32"/>
          <w:highlight w:val="none"/>
        </w:rPr>
        <w:t>公共服务设施</w:t>
      </w:r>
      <w:r>
        <w:rPr>
          <w:rFonts w:hint="eastAsia" w:eastAsia="仿宋_GB2312"/>
          <w:spacing w:val="-4"/>
          <w:sz w:val="32"/>
          <w:szCs w:val="32"/>
          <w:highlight w:val="none"/>
        </w:rPr>
        <w:t>短板。</w:t>
      </w:r>
      <w:r>
        <w:rPr>
          <w:rFonts w:eastAsia="仿宋_GB2312"/>
          <w:spacing w:val="-4"/>
          <w:sz w:val="32"/>
          <w:szCs w:val="32"/>
          <w:highlight w:val="none"/>
        </w:rPr>
        <w:t>推动完整社区建设</w:t>
      </w:r>
      <w:r>
        <w:rPr>
          <w:rFonts w:hint="eastAsia" w:eastAsia="仿宋_GB2312"/>
          <w:spacing w:val="-4"/>
          <w:sz w:val="32"/>
          <w:szCs w:val="32"/>
          <w:highlight w:val="none"/>
        </w:rPr>
        <w:t>，统筹推进“一刻钟”便民生活圈和城市社区嵌入式服务设施建设，完善中小型文体设施，</w:t>
      </w:r>
      <w:r>
        <w:rPr>
          <w:rFonts w:eastAsia="仿宋_GB2312"/>
          <w:spacing w:val="-4"/>
          <w:sz w:val="32"/>
          <w:szCs w:val="32"/>
          <w:highlight w:val="none"/>
        </w:rPr>
        <w:t>补齐教育、医疗、</w:t>
      </w:r>
      <w:r>
        <w:rPr>
          <w:rFonts w:hint="eastAsia" w:eastAsia="仿宋_GB2312"/>
          <w:spacing w:val="-4"/>
          <w:sz w:val="32"/>
          <w:szCs w:val="32"/>
          <w:highlight w:val="none"/>
        </w:rPr>
        <w:t>体育健身、</w:t>
      </w:r>
      <w:r>
        <w:rPr>
          <w:rFonts w:eastAsia="仿宋_GB2312"/>
          <w:spacing w:val="-4"/>
          <w:sz w:val="32"/>
          <w:szCs w:val="32"/>
          <w:highlight w:val="none"/>
        </w:rPr>
        <w:t>托育、养老、</w:t>
      </w:r>
      <w:r>
        <w:rPr>
          <w:rFonts w:hint="eastAsia" w:eastAsia="仿宋_GB2312"/>
          <w:spacing w:val="-4"/>
          <w:sz w:val="32"/>
          <w:szCs w:val="32"/>
          <w:highlight w:val="none"/>
        </w:rPr>
        <w:t>停车泊位、农贸</w:t>
      </w:r>
      <w:r>
        <w:rPr>
          <w:rFonts w:eastAsia="仿宋_GB2312"/>
          <w:spacing w:val="-4"/>
          <w:sz w:val="32"/>
          <w:szCs w:val="32"/>
          <w:highlight w:val="none"/>
        </w:rPr>
        <w:t>市场、社区食堂、家政服务网点等便民设施短板，满足居民多样化需求。改造提升公共文化场馆和多功能运动场所，推进产业园区和城镇生活区设施共享、空间联动和功能融合，提升城市整体服务品质。</w:t>
      </w:r>
    </w:p>
    <w:p w14:paraId="51FC4513">
      <w:pPr>
        <w:widowControl w:val="0"/>
        <w:spacing w:line="540" w:lineRule="exact"/>
        <w:ind w:firstLine="624" w:firstLineChars="200"/>
        <w:rPr>
          <w:rFonts w:eastAsia="楷体_GB2312"/>
          <w:spacing w:val="-4"/>
          <w:sz w:val="32"/>
          <w:szCs w:val="32"/>
          <w:highlight w:val="none"/>
        </w:rPr>
      </w:pPr>
      <w:r>
        <w:rPr>
          <w:rFonts w:eastAsia="楷体_GB2312"/>
          <w:spacing w:val="-4"/>
          <w:sz w:val="32"/>
          <w:szCs w:val="32"/>
          <w:highlight w:val="none"/>
        </w:rPr>
        <w:t>（</w:t>
      </w:r>
      <w:r>
        <w:rPr>
          <w:rFonts w:hint="eastAsia" w:eastAsia="楷体_GB2312"/>
          <w:spacing w:val="-4"/>
          <w:sz w:val="32"/>
          <w:szCs w:val="32"/>
          <w:highlight w:val="none"/>
        </w:rPr>
        <w:t>五</w:t>
      </w:r>
      <w:r>
        <w:rPr>
          <w:rFonts w:eastAsia="楷体_GB2312"/>
          <w:spacing w:val="-4"/>
          <w:sz w:val="32"/>
          <w:szCs w:val="32"/>
          <w:highlight w:val="none"/>
        </w:rPr>
        <w:t>）</w:t>
      </w:r>
      <w:r>
        <w:rPr>
          <w:rFonts w:hint="eastAsia" w:eastAsia="楷体_GB2312"/>
          <w:spacing w:val="-4"/>
          <w:sz w:val="32"/>
          <w:szCs w:val="32"/>
          <w:highlight w:val="none"/>
        </w:rPr>
        <w:t>实施国有资产盘活利用工程。</w:t>
      </w:r>
      <w:r>
        <w:rPr>
          <w:rFonts w:hint="eastAsia" w:eastAsia="仿宋_GB2312"/>
          <w:spacing w:val="-4"/>
          <w:sz w:val="32"/>
          <w:szCs w:val="32"/>
          <w:highlight w:val="none"/>
        </w:rPr>
        <w:t>全面摸清国有资产的存量资源底数，结合城市更新加快盘活行政事业单位和国有企业存量低效闲置资产，重点推动整合闲置房产土地用于养老托育、社区服务等公益场所及OPC社区、青年发展型街区、文旅消费、社区商业、数字文创等经营性场所。鼓励国有企业以市场化方式盘活低效闲置房产土地，积极参与城市更新改造。</w:t>
      </w:r>
    </w:p>
    <w:p w14:paraId="55F2DC18">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（六）实施城市特色风貌塑造和历史文化保护工程。</w:t>
      </w:r>
      <w:r>
        <w:rPr>
          <w:rFonts w:eastAsia="仿宋_GB2312"/>
          <w:spacing w:val="-4"/>
          <w:sz w:val="32"/>
          <w:szCs w:val="32"/>
          <w:highlight w:val="none"/>
        </w:rPr>
        <w:t>以文化保护与品质提升为核心，围绕兼顾保护与更新、文化活态传承、可持续运营、多方参与四大维度，推动城市特色风貌塑造和历史文化保护。</w:t>
      </w:r>
      <w:r>
        <w:rPr>
          <w:rFonts w:hint="eastAsia" w:eastAsia="仿宋_GB2312"/>
          <w:spacing w:val="-4"/>
          <w:sz w:val="32"/>
          <w:szCs w:val="32"/>
          <w:highlight w:val="none"/>
        </w:rPr>
        <w:t>充分挖掘太仓德式文化，聚焦</w:t>
      </w:r>
      <w:r>
        <w:rPr>
          <w:rFonts w:eastAsia="仿宋_GB2312"/>
          <w:spacing w:val="-4"/>
          <w:sz w:val="32"/>
          <w:szCs w:val="32"/>
          <w:highlight w:val="none"/>
        </w:rPr>
        <w:t>公共空间品质提升</w:t>
      </w:r>
      <w:r>
        <w:rPr>
          <w:rFonts w:hint="eastAsia" w:eastAsia="仿宋_GB2312"/>
          <w:spacing w:val="-4"/>
          <w:sz w:val="32"/>
          <w:szCs w:val="32"/>
          <w:highlight w:val="none"/>
        </w:rPr>
        <w:t>，打造丰富的德式生活场景。</w:t>
      </w:r>
      <w:r>
        <w:rPr>
          <w:rFonts w:eastAsia="仿宋_GB2312"/>
          <w:spacing w:val="-4"/>
          <w:sz w:val="32"/>
          <w:szCs w:val="32"/>
          <w:highlight w:val="none"/>
        </w:rPr>
        <w:t>充分挖掘太仓海运文化、娄东文化</w:t>
      </w:r>
      <w:r>
        <w:rPr>
          <w:rFonts w:hint="eastAsia" w:eastAsia="仿宋_GB2312"/>
          <w:spacing w:val="-4"/>
          <w:sz w:val="32"/>
          <w:szCs w:val="32"/>
          <w:highlight w:val="none"/>
          <w:lang w:eastAsia="zh-CN"/>
        </w:rPr>
        <w:t>、</w:t>
      </w:r>
      <w:r>
        <w:rPr>
          <w:rFonts w:hint="eastAsia" w:eastAsia="仿宋_GB2312"/>
          <w:spacing w:val="-4"/>
          <w:sz w:val="32"/>
          <w:szCs w:val="32"/>
          <w:highlight w:val="none"/>
        </w:rPr>
        <w:t>科创文化</w:t>
      </w:r>
      <w:r>
        <w:rPr>
          <w:rFonts w:eastAsia="仿宋_GB2312"/>
          <w:spacing w:val="-4"/>
          <w:sz w:val="32"/>
          <w:szCs w:val="32"/>
          <w:highlight w:val="none"/>
        </w:rPr>
        <w:t>，</w:t>
      </w:r>
      <w:r>
        <w:rPr>
          <w:rFonts w:hint="eastAsia" w:eastAsia="仿宋_GB2312"/>
          <w:spacing w:val="-4"/>
          <w:sz w:val="32"/>
          <w:szCs w:val="32"/>
          <w:highlight w:val="none"/>
        </w:rPr>
        <w:t>开展历史</w:t>
      </w:r>
      <w:r>
        <w:rPr>
          <w:rFonts w:eastAsia="仿宋_GB2312"/>
          <w:spacing w:val="-4"/>
          <w:sz w:val="32"/>
          <w:szCs w:val="32"/>
          <w:highlight w:val="none"/>
        </w:rPr>
        <w:t>建筑保护利用、</w:t>
      </w:r>
      <w:r>
        <w:rPr>
          <w:rFonts w:hint="eastAsia" w:eastAsia="仿宋_GB2312"/>
          <w:spacing w:val="-4"/>
          <w:sz w:val="32"/>
          <w:szCs w:val="32"/>
          <w:highlight w:val="none"/>
        </w:rPr>
        <w:t>历史文化</w:t>
      </w:r>
      <w:r>
        <w:rPr>
          <w:rFonts w:eastAsia="仿宋_GB2312"/>
          <w:spacing w:val="-4"/>
          <w:sz w:val="32"/>
          <w:szCs w:val="32"/>
          <w:highlight w:val="none"/>
        </w:rPr>
        <w:t>街区风貌整治、基础设施改造更新</w:t>
      </w:r>
      <w:r>
        <w:rPr>
          <w:rFonts w:hint="eastAsia" w:eastAsia="仿宋_GB2312"/>
          <w:spacing w:val="-4"/>
          <w:sz w:val="32"/>
          <w:szCs w:val="32"/>
          <w:highlight w:val="none"/>
        </w:rPr>
        <w:t>。推动德式风情与苏式生活、幸福太仓有机融合，</w:t>
      </w:r>
      <w:r>
        <w:rPr>
          <w:rFonts w:eastAsia="仿宋_GB2312"/>
          <w:spacing w:val="-4"/>
          <w:sz w:val="32"/>
          <w:szCs w:val="32"/>
          <w:highlight w:val="none"/>
        </w:rPr>
        <w:t>讲好太仓</w:t>
      </w:r>
      <w:r>
        <w:rPr>
          <w:rFonts w:hint="eastAsia" w:eastAsia="仿宋_GB2312"/>
          <w:spacing w:val="-4"/>
          <w:sz w:val="32"/>
          <w:szCs w:val="32"/>
          <w:highlight w:val="none"/>
        </w:rPr>
        <w:t>“对德合作”、</w:t>
      </w:r>
      <w:r>
        <w:rPr>
          <w:rFonts w:eastAsia="仿宋_GB2312"/>
          <w:spacing w:val="-4"/>
          <w:sz w:val="32"/>
          <w:szCs w:val="32"/>
          <w:highlight w:val="none"/>
        </w:rPr>
        <w:t>历史文化故事。</w:t>
      </w:r>
    </w:p>
    <w:p w14:paraId="60F257AA">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（七）实施基础设施体系化改造工程。</w:t>
      </w:r>
      <w:r>
        <w:rPr>
          <w:rFonts w:hint="eastAsia" w:eastAsia="仿宋_GB2312"/>
          <w:spacing w:val="-4"/>
          <w:sz w:val="32"/>
          <w:szCs w:val="32"/>
          <w:highlight w:val="none"/>
        </w:rPr>
        <w:t>完善</w:t>
      </w:r>
      <w:r>
        <w:rPr>
          <w:rFonts w:eastAsia="仿宋_GB2312"/>
          <w:spacing w:val="-4"/>
          <w:sz w:val="32"/>
          <w:szCs w:val="32"/>
          <w:highlight w:val="none"/>
        </w:rPr>
        <w:t>城市</w:t>
      </w:r>
      <w:r>
        <w:rPr>
          <w:rFonts w:hint="eastAsia" w:eastAsia="仿宋_GB2312"/>
          <w:spacing w:val="-4"/>
          <w:sz w:val="32"/>
          <w:szCs w:val="32"/>
          <w:highlight w:val="none"/>
        </w:rPr>
        <w:t>路网</w:t>
      </w:r>
      <w:r>
        <w:rPr>
          <w:rFonts w:eastAsia="仿宋_GB2312"/>
          <w:spacing w:val="-4"/>
          <w:sz w:val="32"/>
          <w:szCs w:val="32"/>
          <w:highlight w:val="none"/>
        </w:rPr>
        <w:t>建设，优化路网结构，更新改造“断头路”“支小路”，畅通城市“微循环”。</w:t>
      </w:r>
      <w:r>
        <w:rPr>
          <w:rFonts w:hint="eastAsia" w:eastAsia="仿宋_GB2312"/>
          <w:spacing w:val="-4"/>
          <w:sz w:val="32"/>
          <w:szCs w:val="32"/>
          <w:highlight w:val="none"/>
        </w:rPr>
        <w:t>统筹</w:t>
      </w:r>
      <w:r>
        <w:rPr>
          <w:rFonts w:eastAsia="仿宋_GB2312"/>
          <w:spacing w:val="-4"/>
          <w:sz w:val="32"/>
          <w:szCs w:val="32"/>
          <w:highlight w:val="none"/>
        </w:rPr>
        <w:t>推进</w:t>
      </w:r>
      <w:r>
        <w:rPr>
          <w:rFonts w:hint="eastAsia" w:eastAsia="仿宋_GB2312"/>
          <w:spacing w:val="-4"/>
          <w:sz w:val="32"/>
          <w:szCs w:val="32"/>
          <w:highlight w:val="none"/>
        </w:rPr>
        <w:t>城市地下管网、管廊及设施建设改造，实施城市燃气、供水、排水、污水等基础设施更新</w:t>
      </w:r>
      <w:r>
        <w:rPr>
          <w:rFonts w:eastAsia="仿宋_GB2312"/>
          <w:spacing w:val="-4"/>
          <w:sz w:val="32"/>
          <w:szCs w:val="32"/>
          <w:highlight w:val="none"/>
        </w:rPr>
        <w:t>改造。</w:t>
      </w:r>
      <w:r>
        <w:rPr>
          <w:rFonts w:hint="eastAsia" w:eastAsia="仿宋_GB2312"/>
          <w:spacing w:val="-4"/>
          <w:sz w:val="32"/>
          <w:szCs w:val="32"/>
          <w:highlight w:val="none"/>
        </w:rPr>
        <w:t>加快城市基础设施生命线安全工程建设，健全监测体系，完善风险隐患高效协同处置机制。</w:t>
      </w:r>
      <w:r>
        <w:rPr>
          <w:rFonts w:eastAsia="仿宋_GB2312"/>
          <w:spacing w:val="-4"/>
          <w:sz w:val="32"/>
          <w:szCs w:val="32"/>
          <w:highlight w:val="none"/>
        </w:rPr>
        <w:t>补齐停车设施短板，加强通信设施和公共充电设施建设。</w:t>
      </w:r>
    </w:p>
    <w:p w14:paraId="1A535036">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（八）实施城市安全韧性提升工程。</w:t>
      </w:r>
      <w:r>
        <w:rPr>
          <w:rFonts w:eastAsia="仿宋_GB2312"/>
          <w:spacing w:val="-4"/>
          <w:sz w:val="32"/>
          <w:szCs w:val="32"/>
          <w:highlight w:val="none"/>
        </w:rPr>
        <w:t>开展城市基础设施安全检测，构建安全风险分级管控和隐患排查治理双重预防机制，实现全方位监测、及时预警、精确溯源、实时处置。建立房屋使用全生命周期安全管理制度</w:t>
      </w:r>
      <w:r>
        <w:rPr>
          <w:rFonts w:hint="eastAsia" w:eastAsia="仿宋_GB2312"/>
          <w:spacing w:val="-4"/>
          <w:sz w:val="32"/>
          <w:szCs w:val="32"/>
          <w:highlight w:val="none"/>
        </w:rPr>
        <w:t>，健全房屋建筑信息动态更新机制，形成房屋建筑安全隐患数字档案。</w:t>
      </w:r>
      <w:r>
        <w:rPr>
          <w:rFonts w:eastAsia="仿宋_GB2312"/>
          <w:spacing w:val="-4"/>
          <w:sz w:val="32"/>
          <w:szCs w:val="32"/>
          <w:highlight w:val="none"/>
        </w:rPr>
        <w:t>提升城市应急避灾能力，优化城市防洪排涝，系统推进易淹易涝区域整治。完善城市灾害监测预警和应急预案体系，建立统一、高效、联动、顺畅的应急救援指挥体系。</w:t>
      </w:r>
    </w:p>
    <w:p w14:paraId="0938F9BE">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（九）实施城市绿色低碳发展工程。</w:t>
      </w:r>
      <w:r>
        <w:rPr>
          <w:rFonts w:hint="eastAsia" w:eastAsia="仿宋_GB2312"/>
          <w:spacing w:val="-4"/>
          <w:sz w:val="32"/>
          <w:szCs w:val="32"/>
          <w:highlight w:val="none"/>
        </w:rPr>
        <w:t>保护修复城市湿地，因地制宜建设幸福河湖、美丽河湖。</w:t>
      </w:r>
      <w:r>
        <w:rPr>
          <w:rFonts w:eastAsia="仿宋_GB2312"/>
          <w:spacing w:val="-4"/>
          <w:sz w:val="32"/>
          <w:szCs w:val="32"/>
          <w:highlight w:val="none"/>
        </w:rPr>
        <w:t>合理优化绿化空间体系，建设口袋公园、便民绿地、城市绿道，构建完整连贯的绿地系统，推动公园绿地开放共享</w:t>
      </w:r>
      <w:r>
        <w:rPr>
          <w:rFonts w:hint="eastAsia" w:eastAsia="仿宋_GB2312"/>
          <w:spacing w:val="-4"/>
          <w:sz w:val="32"/>
          <w:szCs w:val="32"/>
          <w:highlight w:val="none"/>
        </w:rPr>
        <w:t>，加强古树名木保护</w:t>
      </w:r>
      <w:r>
        <w:rPr>
          <w:rFonts w:eastAsia="仿宋_GB2312"/>
          <w:spacing w:val="-4"/>
          <w:sz w:val="32"/>
          <w:szCs w:val="32"/>
          <w:highlight w:val="none"/>
        </w:rPr>
        <w:t>。以生态保护和环境治理为基础，推行以生态环境为导向的开发模式，实现生态建设与经济发展互相促进，推动实现“双碳”目标。推动超低能耗建筑、低碳建筑规模化发展</w:t>
      </w:r>
      <w:r>
        <w:rPr>
          <w:rFonts w:hint="eastAsia" w:eastAsia="仿宋_GB2312"/>
          <w:spacing w:val="-4"/>
          <w:sz w:val="32"/>
          <w:szCs w:val="32"/>
          <w:highlight w:val="none"/>
        </w:rPr>
        <w:t>，推广绿色设计、绿色施工，积极培育绿色建筑新增长点</w:t>
      </w:r>
      <w:r>
        <w:rPr>
          <w:rFonts w:eastAsia="仿宋_GB2312"/>
          <w:spacing w:val="-4"/>
          <w:sz w:val="32"/>
          <w:szCs w:val="32"/>
          <w:highlight w:val="none"/>
        </w:rPr>
        <w:t>。</w:t>
      </w:r>
      <w:r>
        <w:rPr>
          <w:rFonts w:hint="eastAsia" w:eastAsia="仿宋_GB2312"/>
          <w:spacing w:val="-4"/>
          <w:sz w:val="32"/>
          <w:szCs w:val="32"/>
          <w:highlight w:val="none"/>
        </w:rPr>
        <w:t>推进城市节水，建设海绵城市。持续完善</w:t>
      </w:r>
      <w:r>
        <w:rPr>
          <w:rFonts w:eastAsia="仿宋_GB2312"/>
          <w:spacing w:val="-4"/>
          <w:sz w:val="32"/>
          <w:szCs w:val="32"/>
          <w:highlight w:val="none"/>
        </w:rPr>
        <w:t>生活垃圾、建筑垃圾等固体废物分类</w:t>
      </w:r>
      <w:r>
        <w:rPr>
          <w:rFonts w:hint="eastAsia" w:eastAsia="仿宋_GB2312"/>
          <w:spacing w:val="-4"/>
          <w:sz w:val="32"/>
          <w:szCs w:val="32"/>
          <w:highlight w:val="none"/>
        </w:rPr>
        <w:t>收集和处理设施体系</w:t>
      </w:r>
      <w:r>
        <w:rPr>
          <w:rFonts w:eastAsia="仿宋_GB2312"/>
          <w:spacing w:val="-4"/>
          <w:sz w:val="32"/>
          <w:szCs w:val="32"/>
          <w:highlight w:val="none"/>
        </w:rPr>
        <w:t>。</w:t>
      </w:r>
    </w:p>
    <w:p w14:paraId="2AA07800">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（十）实施城市精细化智慧化治理工程。</w:t>
      </w:r>
      <w:r>
        <w:rPr>
          <w:rFonts w:eastAsia="仿宋_GB2312"/>
          <w:spacing w:val="-4"/>
          <w:sz w:val="32"/>
          <w:szCs w:val="32"/>
          <w:highlight w:val="none"/>
        </w:rPr>
        <w:t>推进</w:t>
      </w:r>
      <w:r>
        <w:rPr>
          <w:rFonts w:hint="eastAsia" w:eastAsia="仿宋_GB2312"/>
          <w:spacing w:val="-4"/>
          <w:sz w:val="32"/>
          <w:szCs w:val="32"/>
          <w:highlight w:val="none"/>
        </w:rPr>
        <w:t>城市数字化转型，推动</w:t>
      </w:r>
      <w:r>
        <w:rPr>
          <w:rFonts w:eastAsia="仿宋_GB2312"/>
          <w:spacing w:val="-4"/>
          <w:sz w:val="32"/>
          <w:szCs w:val="32"/>
          <w:highlight w:val="none"/>
        </w:rPr>
        <w:t>城市信息模型基础平台建设，实施智慧交通、智慧停车、智慧市政、智慧环卫等智慧化示范项目。以物联网、大数据、第五代移动通信技术等为支撑，</w:t>
      </w:r>
      <w:r>
        <w:rPr>
          <w:rFonts w:hint="eastAsia" w:eastAsia="仿宋_GB2312"/>
          <w:spacing w:val="-4"/>
          <w:sz w:val="32"/>
          <w:szCs w:val="32"/>
          <w:highlight w:val="none"/>
        </w:rPr>
        <w:t>以人工智能重塑城市治理理念、模式、手段，构建智慧城市运行指挥体系，完善政务服务“一网通办”、城市运行“一网统管”。</w:t>
      </w:r>
    </w:p>
    <w:p w14:paraId="69286600">
      <w:pPr>
        <w:widowControl w:val="0"/>
        <w:spacing w:line="540" w:lineRule="exact"/>
        <w:ind w:firstLine="624" w:firstLineChars="200"/>
        <w:rPr>
          <w:rFonts w:eastAsia="黑体"/>
          <w:spacing w:val="-4"/>
          <w:sz w:val="32"/>
          <w:szCs w:val="32"/>
          <w:highlight w:val="none"/>
        </w:rPr>
      </w:pPr>
      <w:r>
        <w:rPr>
          <w:rFonts w:eastAsia="黑体"/>
          <w:spacing w:val="-4"/>
          <w:sz w:val="32"/>
          <w:szCs w:val="32"/>
          <w:highlight w:val="none"/>
        </w:rPr>
        <w:t>三、实施路径</w:t>
      </w:r>
    </w:p>
    <w:p w14:paraId="4DDDEB36">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（一）开展体检评估。</w:t>
      </w:r>
      <w:r>
        <w:rPr>
          <w:rFonts w:hint="eastAsia" w:eastAsia="仿宋_GB2312"/>
          <w:spacing w:val="-4"/>
          <w:sz w:val="32"/>
          <w:szCs w:val="32"/>
          <w:highlight w:val="none"/>
        </w:rPr>
        <w:t>将城市体检贯穿于城市规划建设治理全过程，构建“规划体检、综合体检、专项体检、日常巡检”四位一体的体检体系，</w:t>
      </w:r>
      <w:r>
        <w:rPr>
          <w:rFonts w:eastAsia="仿宋_GB2312"/>
          <w:spacing w:val="-4"/>
          <w:sz w:val="32"/>
          <w:szCs w:val="32"/>
          <w:highlight w:val="none"/>
        </w:rPr>
        <w:t>坚持问题导向、目标导向、结果导向，以解决难点、堵点、痛点问题为重点，摸清空间布局、功能品质、风貌环境等方面存在的问题，了解群众</w:t>
      </w:r>
      <w:r>
        <w:rPr>
          <w:rFonts w:hint="eastAsia" w:eastAsia="仿宋_GB2312"/>
          <w:spacing w:val="-4"/>
          <w:sz w:val="32"/>
          <w:szCs w:val="32"/>
          <w:highlight w:val="none"/>
        </w:rPr>
        <w:t>实际</w:t>
      </w:r>
      <w:r>
        <w:rPr>
          <w:rFonts w:eastAsia="仿宋_GB2312"/>
          <w:spacing w:val="-4"/>
          <w:sz w:val="32"/>
          <w:szCs w:val="32"/>
          <w:highlight w:val="none"/>
        </w:rPr>
        <w:t>需求。</w:t>
      </w:r>
    </w:p>
    <w:p w14:paraId="55954EF5">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（二）更新</w:t>
      </w:r>
      <w:r>
        <w:rPr>
          <w:rFonts w:hint="eastAsia" w:eastAsia="楷体_GB2312"/>
          <w:spacing w:val="-4"/>
          <w:sz w:val="32"/>
          <w:szCs w:val="32"/>
          <w:highlight w:val="none"/>
        </w:rPr>
        <w:t>引领</w:t>
      </w:r>
      <w:r>
        <w:rPr>
          <w:rFonts w:eastAsia="楷体_GB2312"/>
          <w:spacing w:val="-4"/>
          <w:sz w:val="32"/>
          <w:szCs w:val="32"/>
          <w:highlight w:val="none"/>
        </w:rPr>
        <w:t>规划。</w:t>
      </w:r>
      <w:r>
        <w:rPr>
          <w:rFonts w:eastAsia="仿宋_GB2312"/>
          <w:spacing w:val="-4"/>
          <w:sz w:val="32"/>
          <w:szCs w:val="32"/>
          <w:highlight w:val="none"/>
        </w:rPr>
        <w:t>依据城市体检成果，综合考虑城市更新与“十五五”</w:t>
      </w:r>
      <w:r>
        <w:rPr>
          <w:rFonts w:hint="eastAsia" w:eastAsia="仿宋_GB2312"/>
          <w:spacing w:val="-4"/>
          <w:sz w:val="32"/>
          <w:szCs w:val="32"/>
          <w:highlight w:val="none"/>
        </w:rPr>
        <w:t>更新规划</w:t>
      </w:r>
      <w:r>
        <w:rPr>
          <w:rFonts w:eastAsia="仿宋_GB2312"/>
          <w:spacing w:val="-4"/>
          <w:sz w:val="32"/>
          <w:szCs w:val="32"/>
          <w:highlight w:val="none"/>
        </w:rPr>
        <w:t>等专项规划的关系，</w:t>
      </w:r>
      <w:r>
        <w:rPr>
          <w:rFonts w:hint="eastAsia" w:eastAsia="仿宋_GB2312"/>
          <w:spacing w:val="-4"/>
          <w:sz w:val="32"/>
          <w:szCs w:val="32"/>
          <w:highlight w:val="none"/>
        </w:rPr>
        <w:t>明确目标策略和行动任务，编制城市更新专项规划。依据城市更新专项规划，开展片区策划，明确片区定位和更新目标、改造内容，生成项目并提出实施路径、实施步骤、业态引导、资金平衡、空间优化等建议。落实城市更新专项规划和片区策划要求，编制项目实施方案。引导利益相关方充分参与，明确更新方式、设计方案、成本收益、资金测算、运营模式等。</w:t>
      </w:r>
    </w:p>
    <w:p w14:paraId="7741D3EC">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（三）完善项目储备和生成机制。</w:t>
      </w:r>
      <w:r>
        <w:rPr>
          <w:rFonts w:hint="eastAsia" w:eastAsia="仿宋_GB2312"/>
          <w:spacing w:val="-4"/>
          <w:sz w:val="32"/>
          <w:szCs w:val="32"/>
          <w:highlight w:val="none"/>
        </w:rPr>
        <w:t>通过“专项规划－片区策划－项目实施方案”的规划实施体系，生成储备项目和实施项目，建立城市更新项目库，出台《太仓市城市更新项目库运行管理暂行办法》，</w:t>
      </w:r>
      <w:r>
        <w:rPr>
          <w:rFonts w:eastAsia="仿宋_GB2312"/>
          <w:spacing w:val="-4"/>
          <w:sz w:val="32"/>
          <w:szCs w:val="32"/>
          <w:highlight w:val="none"/>
        </w:rPr>
        <w:t>理顺权责分工，</w:t>
      </w:r>
      <w:r>
        <w:rPr>
          <w:rFonts w:hint="eastAsia" w:eastAsia="仿宋_GB2312"/>
          <w:spacing w:val="-4"/>
          <w:sz w:val="32"/>
          <w:szCs w:val="32"/>
          <w:highlight w:val="none"/>
        </w:rPr>
        <w:t>推动项目常态化储备和动态调整</w:t>
      </w:r>
      <w:r>
        <w:rPr>
          <w:rFonts w:eastAsia="仿宋_GB2312"/>
          <w:spacing w:val="-4"/>
          <w:sz w:val="32"/>
          <w:szCs w:val="32"/>
          <w:highlight w:val="none"/>
        </w:rPr>
        <w:t>。</w:t>
      </w:r>
    </w:p>
    <w:p w14:paraId="336BF1D5">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（四）</w:t>
      </w:r>
      <w:r>
        <w:rPr>
          <w:rFonts w:hint="eastAsia" w:eastAsia="楷体_GB2312"/>
          <w:spacing w:val="-4"/>
          <w:sz w:val="32"/>
          <w:szCs w:val="32"/>
          <w:highlight w:val="none"/>
        </w:rPr>
        <w:t>强化片区统筹和运营前置。</w:t>
      </w:r>
      <w:r>
        <w:rPr>
          <w:rFonts w:hint="eastAsia" w:eastAsia="仿宋_GB2312"/>
          <w:spacing w:val="-4"/>
          <w:sz w:val="32"/>
          <w:szCs w:val="32"/>
          <w:highlight w:val="none"/>
        </w:rPr>
        <w:t>支持以更新片区为载体整合资源、集成项目，通过政府统筹、市场运作、社会协同、主体联动，推动资源统筹盘活、资金统筹平衡、项目统筹实施、功能统筹完善、活力统筹提升。引导和支持房地产企业、规划设计企业等专业运营主体积极参与更新策划运营，提前介入城市更新项目实施，前置运营管理需求，以市场化思维参与方案策划设计，推进多业态融合赋能。</w:t>
      </w:r>
    </w:p>
    <w:p w14:paraId="4F293DD6">
      <w:pPr>
        <w:widowControl w:val="0"/>
        <w:spacing w:line="540" w:lineRule="exact"/>
        <w:ind w:firstLine="624" w:firstLineChars="200"/>
        <w:rPr>
          <w:rFonts w:eastAsia="黑体"/>
          <w:spacing w:val="-4"/>
          <w:sz w:val="32"/>
          <w:szCs w:val="32"/>
          <w:highlight w:val="none"/>
        </w:rPr>
      </w:pPr>
      <w:r>
        <w:rPr>
          <w:rFonts w:eastAsia="黑体"/>
          <w:spacing w:val="-4"/>
          <w:sz w:val="32"/>
          <w:szCs w:val="32"/>
          <w:highlight w:val="none"/>
        </w:rPr>
        <w:t>四、保障措施</w:t>
      </w:r>
    </w:p>
    <w:p w14:paraId="7C362330">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（一）强化组织保障。</w:t>
      </w:r>
      <w:r>
        <w:rPr>
          <w:rFonts w:hint="eastAsia" w:eastAsia="仿宋_GB2312"/>
          <w:spacing w:val="-4"/>
          <w:sz w:val="32"/>
          <w:szCs w:val="32"/>
          <w:highlight w:val="none"/>
        </w:rPr>
        <w:t>在市城乡规划建设管理高质量发展领导小组领导下开展城市更新行动</w:t>
      </w:r>
      <w:r>
        <w:rPr>
          <w:rFonts w:eastAsia="仿宋_GB2312"/>
          <w:spacing w:val="-4"/>
          <w:sz w:val="32"/>
          <w:szCs w:val="32"/>
          <w:highlight w:val="none"/>
        </w:rPr>
        <w:t>，加快推进太仓市城市更新工作，加强对各项工作的整体部署和系统推进，协调解决有关重大问题。各单位部门细化工作目标和举措，强化协调联动，形成工作合力，确保各项任务高质高效推进。</w:t>
      </w:r>
      <w:r>
        <w:rPr>
          <w:rFonts w:hint="eastAsia" w:eastAsia="仿宋_GB2312"/>
          <w:spacing w:val="-4"/>
          <w:sz w:val="32"/>
          <w:szCs w:val="32"/>
          <w:highlight w:val="none"/>
        </w:rPr>
        <w:t>根据城市更新实际工作需要，成立专项工作专班（指挥部），统筹推进项目实施。</w:t>
      </w:r>
    </w:p>
    <w:p w14:paraId="43F0F095">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（二）科学规划设计。</w:t>
      </w:r>
      <w:r>
        <w:rPr>
          <w:rFonts w:eastAsia="仿宋_GB2312"/>
          <w:spacing w:val="-4"/>
          <w:sz w:val="32"/>
          <w:szCs w:val="32"/>
          <w:highlight w:val="none"/>
        </w:rPr>
        <w:t>以国土空间规划为引领，强化城市更新的规划统筹，促进生产、生活、生态空间优化布局。明确更新规划单元的发展定位、主导功能及建筑规模总量，优化功能结构、空间布局，完善道路交通、市政基础设施、公共服务设施配置及空间尺度、城市风貌等底线管控要求。城市更新区域内项目用地性质、建筑高度、建筑密度、容积率等指标，在保障公共利益、符合更新目标前提下，经论证并履行控制性详细规划法定修改程序后，可予以适当优化。</w:t>
      </w:r>
    </w:p>
    <w:p w14:paraId="6DA11FC4">
      <w:pPr>
        <w:keepNext w:val="0"/>
        <w:keepLines w:val="0"/>
        <w:pageBreakBefore w:val="0"/>
        <w:widowControl w:val="0"/>
        <w:kinsoku/>
        <w:wordWrap/>
        <w:overflowPunct/>
        <w:topLinePunct w:val="0"/>
        <w:autoSpaceDE/>
        <w:autoSpaceDN/>
        <w:bidi w:val="0"/>
        <w:adjustRightInd/>
        <w:snapToGrid/>
        <w:spacing w:line="576" w:lineRule="exact"/>
        <w:ind w:firstLine="624" w:firstLineChars="200"/>
        <w:textAlignment w:val="auto"/>
        <w:rPr>
          <w:rFonts w:hint="default" w:ascii="Times New Roman" w:hAnsi="Times New Roman" w:eastAsia="仿宋_GB2312" w:cs="Times New Roman"/>
          <w:spacing w:val="-4"/>
          <w:sz w:val="32"/>
          <w:szCs w:val="32"/>
          <w:highlight w:val="none"/>
          <w:lang w:val="en-US" w:eastAsia="zh-CN"/>
        </w:rPr>
      </w:pPr>
      <w:r>
        <w:rPr>
          <w:rFonts w:eastAsia="楷体_GB2312"/>
          <w:spacing w:val="-4"/>
          <w:sz w:val="32"/>
          <w:szCs w:val="32"/>
          <w:highlight w:val="none"/>
        </w:rPr>
        <w:t>（三）加强用地保障。</w:t>
      </w:r>
      <w:r>
        <w:rPr>
          <w:rFonts w:hint="default" w:ascii="Times New Roman" w:hAnsi="Times New Roman" w:eastAsia="仿宋_GB2312" w:cs="Times New Roman"/>
          <w:spacing w:val="-4"/>
          <w:sz w:val="32"/>
          <w:szCs w:val="32"/>
          <w:highlight w:val="none"/>
          <w:lang w:val="en-US" w:eastAsia="zh-CN"/>
        </w:rPr>
        <w:t>充分用好苏南重点城市土地要素配置改革政策工具，</w:t>
      </w:r>
      <w:r>
        <w:rPr>
          <w:rFonts w:eastAsia="仿宋_GB2312"/>
          <w:spacing w:val="-4"/>
          <w:sz w:val="32"/>
          <w:szCs w:val="32"/>
          <w:highlight w:val="none"/>
        </w:rPr>
        <w:t>灵活运用划拨、出让、租赁、作价出资（入股）等供地方式，</w:t>
      </w:r>
      <w:r>
        <w:rPr>
          <w:rFonts w:hint="eastAsia" w:eastAsia="仿宋_GB2312"/>
          <w:spacing w:val="-4"/>
          <w:sz w:val="32"/>
          <w:szCs w:val="32"/>
          <w:highlight w:val="none"/>
          <w:lang w:val="en-US" w:eastAsia="zh-CN"/>
        </w:rPr>
        <w:t>支持</w:t>
      </w:r>
      <w:r>
        <w:rPr>
          <w:rFonts w:eastAsia="仿宋_GB2312"/>
          <w:spacing w:val="-4"/>
          <w:sz w:val="32"/>
          <w:szCs w:val="32"/>
          <w:highlight w:val="none"/>
        </w:rPr>
        <w:t>“带方案出让”</w:t>
      </w:r>
      <w:r>
        <w:rPr>
          <w:rFonts w:hint="default" w:ascii="Times New Roman" w:hAnsi="Times New Roman" w:eastAsia="仿宋_GB2312" w:cs="Times New Roman"/>
          <w:spacing w:val="-4"/>
          <w:sz w:val="32"/>
          <w:szCs w:val="32"/>
          <w:highlight w:val="none"/>
          <w:lang w:eastAsia="zh-CN"/>
        </w:rPr>
        <w:t>，</w:t>
      </w:r>
      <w:r>
        <w:rPr>
          <w:rFonts w:hint="default" w:ascii="Times New Roman" w:hAnsi="Times New Roman" w:eastAsia="仿宋_GB2312" w:cs="Times New Roman"/>
          <w:spacing w:val="-4"/>
          <w:sz w:val="32"/>
          <w:szCs w:val="32"/>
          <w:highlight w:val="none"/>
        </w:rPr>
        <w:t>保障城市更新</w:t>
      </w:r>
      <w:r>
        <w:rPr>
          <w:rFonts w:hint="default" w:ascii="Times New Roman" w:hAnsi="Times New Roman" w:eastAsia="仿宋_GB2312" w:cs="Times New Roman"/>
          <w:spacing w:val="-4"/>
          <w:sz w:val="32"/>
          <w:szCs w:val="32"/>
          <w:highlight w:val="none"/>
          <w:lang w:val="en-US" w:eastAsia="zh-CN"/>
        </w:rPr>
        <w:t>项目落地实施</w:t>
      </w:r>
      <w:r>
        <w:rPr>
          <w:rFonts w:hint="default" w:ascii="Times New Roman" w:hAnsi="Times New Roman" w:eastAsia="仿宋_GB2312" w:cs="Times New Roman"/>
          <w:spacing w:val="-4"/>
          <w:sz w:val="32"/>
          <w:szCs w:val="32"/>
          <w:highlight w:val="none"/>
        </w:rPr>
        <w:t>。依据详细规划、规划条件和供地政策</w:t>
      </w:r>
      <w:r>
        <w:rPr>
          <w:rFonts w:hint="default" w:ascii="Times New Roman" w:hAnsi="Times New Roman" w:eastAsia="仿宋_GB2312" w:cs="Times New Roman"/>
          <w:spacing w:val="-4"/>
          <w:sz w:val="32"/>
          <w:szCs w:val="32"/>
          <w:highlight w:val="none"/>
          <w:lang w:eastAsia="zh-CN"/>
        </w:rPr>
        <w:t>，</w:t>
      </w:r>
      <w:r>
        <w:rPr>
          <w:rFonts w:hint="default" w:ascii="Times New Roman" w:hAnsi="Times New Roman" w:eastAsia="仿宋_GB2312" w:cs="Times New Roman"/>
          <w:spacing w:val="-4"/>
          <w:sz w:val="32"/>
          <w:szCs w:val="32"/>
          <w:highlight w:val="none"/>
          <w:lang w:val="en-US" w:eastAsia="zh-CN"/>
        </w:rPr>
        <w:t>按照正负面清单管理要求，支持不同产业用地类型合理转换，推行土地混合开发利用。鼓励企业实施“零增地”技术改造，充分利用现有厂房和土地资源，推进“工业上楼”等模式。对符合条件的城市更新项目，实行简易审批、多部门并联审批，依法依规办理各类用地手续。</w:t>
      </w:r>
    </w:p>
    <w:p w14:paraId="794301EB">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（四）多</w:t>
      </w:r>
      <w:r>
        <w:rPr>
          <w:rFonts w:hint="eastAsia" w:eastAsia="楷体_GB2312"/>
          <w:spacing w:val="-4"/>
          <w:sz w:val="32"/>
          <w:szCs w:val="32"/>
          <w:highlight w:val="none"/>
        </w:rPr>
        <w:t>元主体参与</w:t>
      </w:r>
      <w:r>
        <w:rPr>
          <w:rFonts w:eastAsia="楷体_GB2312"/>
          <w:spacing w:val="-4"/>
          <w:sz w:val="32"/>
          <w:szCs w:val="32"/>
          <w:highlight w:val="none"/>
        </w:rPr>
        <w:t>。</w:t>
      </w:r>
      <w:r>
        <w:rPr>
          <w:rFonts w:eastAsia="仿宋_GB2312"/>
          <w:spacing w:val="-4"/>
          <w:sz w:val="32"/>
          <w:szCs w:val="32"/>
          <w:highlight w:val="none"/>
        </w:rPr>
        <w:t>以城市更新项目为抓手，积极向国家、省申报各类上级补助资金。做大做强国有企业，撬动社会力量参与城市更新，积极引导房地产、建筑施工等企业参与城市更新项目。支持符合条件的城市更新项目申报不动产投资信托基金等。鼓励金融机构创新中长期金融贷款产品，丰富增信方式，积极为城市更新项目提供融资支持。鼓励将项目区域内的停车、公房、广告等经营性资产</w:t>
      </w:r>
      <w:r>
        <w:rPr>
          <w:rFonts w:hint="eastAsia" w:eastAsia="仿宋_GB2312"/>
          <w:spacing w:val="-4"/>
          <w:sz w:val="32"/>
          <w:szCs w:val="32"/>
          <w:highlight w:val="none"/>
        </w:rPr>
        <w:t>交由项目实施主体统筹运营；对符合条件的项目，依法依规授予实施主体，所产生的经营收入用作项目资金平衡。</w:t>
      </w:r>
    </w:p>
    <w:p w14:paraId="1AAD8631">
      <w:pPr>
        <w:widowControl w:val="0"/>
        <w:spacing w:line="540" w:lineRule="exact"/>
        <w:ind w:firstLine="624" w:firstLineChars="200"/>
        <w:rPr>
          <w:rFonts w:eastAsia="仿宋_GB2312"/>
          <w:spacing w:val="-4"/>
          <w:sz w:val="32"/>
          <w:szCs w:val="32"/>
          <w:highlight w:val="none"/>
        </w:rPr>
      </w:pPr>
      <w:r>
        <w:rPr>
          <w:rFonts w:eastAsia="楷体_GB2312"/>
          <w:spacing w:val="-4"/>
          <w:sz w:val="32"/>
          <w:szCs w:val="32"/>
          <w:highlight w:val="none"/>
        </w:rPr>
        <w:t>（五）全面引导宣传。</w:t>
      </w:r>
      <w:r>
        <w:rPr>
          <w:rFonts w:eastAsia="仿宋_GB2312"/>
          <w:spacing w:val="-4"/>
          <w:sz w:val="32"/>
          <w:szCs w:val="32"/>
          <w:highlight w:val="none"/>
        </w:rPr>
        <w:t>充分尊重居民意愿，探索可推广的公众参与机制，提高广大居民群众参与城市更新的积极性和主动性。通过传统媒体与新媒体相结合、政策解读与案例剖析相结合的方式，全方位、多角度、多渠道开展宣传。加大对城市更新有关政策和典型项目的宣传力度，不断提高社会共识，为顺利推进城市更新营造良好氛围。</w:t>
      </w:r>
    </w:p>
    <w:sectPr>
      <w:footerReference r:id="rId3" w:type="default"/>
      <w:pgSz w:w="11906" w:h="16838"/>
      <w:pgMar w:top="2041" w:right="1474" w:bottom="192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wiss"/>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05064">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B9AB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87B9AB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62A35"/>
    <w:rsid w:val="00172A27"/>
    <w:rsid w:val="002423B3"/>
    <w:rsid w:val="007344B6"/>
    <w:rsid w:val="00EF0C49"/>
    <w:rsid w:val="00F46721"/>
    <w:rsid w:val="00F54F03"/>
    <w:rsid w:val="01715B33"/>
    <w:rsid w:val="025C04B2"/>
    <w:rsid w:val="02F4511E"/>
    <w:rsid w:val="03FA6D38"/>
    <w:rsid w:val="06813E39"/>
    <w:rsid w:val="070F1FCB"/>
    <w:rsid w:val="07EE658E"/>
    <w:rsid w:val="085579F8"/>
    <w:rsid w:val="09643375"/>
    <w:rsid w:val="096917A5"/>
    <w:rsid w:val="09B85B14"/>
    <w:rsid w:val="0BA53A2D"/>
    <w:rsid w:val="0D637677"/>
    <w:rsid w:val="0E8F4CA7"/>
    <w:rsid w:val="10CF6F8B"/>
    <w:rsid w:val="12034C4F"/>
    <w:rsid w:val="128568DA"/>
    <w:rsid w:val="152661A9"/>
    <w:rsid w:val="1B432FF8"/>
    <w:rsid w:val="1B46737D"/>
    <w:rsid w:val="1B4B24DA"/>
    <w:rsid w:val="1CB66E3A"/>
    <w:rsid w:val="1E3843AC"/>
    <w:rsid w:val="206A0E0F"/>
    <w:rsid w:val="21752B04"/>
    <w:rsid w:val="25823163"/>
    <w:rsid w:val="260C6BFA"/>
    <w:rsid w:val="26C321B4"/>
    <w:rsid w:val="28240456"/>
    <w:rsid w:val="28D85CD3"/>
    <w:rsid w:val="2BB20C1E"/>
    <w:rsid w:val="2BBE29CF"/>
    <w:rsid w:val="2C7B6101"/>
    <w:rsid w:val="2EC648B4"/>
    <w:rsid w:val="2FEC1BAE"/>
    <w:rsid w:val="2FEF44A2"/>
    <w:rsid w:val="313668AB"/>
    <w:rsid w:val="31CF73D0"/>
    <w:rsid w:val="321073B1"/>
    <w:rsid w:val="34561E70"/>
    <w:rsid w:val="35D448A6"/>
    <w:rsid w:val="35F90106"/>
    <w:rsid w:val="39F867E4"/>
    <w:rsid w:val="3A1F720A"/>
    <w:rsid w:val="3AA21D55"/>
    <w:rsid w:val="3E8B1D5F"/>
    <w:rsid w:val="3FC562F9"/>
    <w:rsid w:val="3FED6871"/>
    <w:rsid w:val="41982678"/>
    <w:rsid w:val="49B019E5"/>
    <w:rsid w:val="4A791606"/>
    <w:rsid w:val="4DFD01F9"/>
    <w:rsid w:val="4E4862FB"/>
    <w:rsid w:val="58A52621"/>
    <w:rsid w:val="5A60231D"/>
    <w:rsid w:val="5B716236"/>
    <w:rsid w:val="5F4E7506"/>
    <w:rsid w:val="60506A21"/>
    <w:rsid w:val="64800C31"/>
    <w:rsid w:val="654E7CAA"/>
    <w:rsid w:val="6A97058E"/>
    <w:rsid w:val="6BD43675"/>
    <w:rsid w:val="71014D66"/>
    <w:rsid w:val="74237BDB"/>
    <w:rsid w:val="74F6214B"/>
    <w:rsid w:val="76C1738E"/>
    <w:rsid w:val="787F3DD7"/>
    <w:rsid w:val="795310F0"/>
    <w:rsid w:val="7A20406E"/>
    <w:rsid w:val="DE7F41A6"/>
    <w:rsid w:val="E7E77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Strong"/>
    <w:basedOn w:val="5"/>
    <w:qFormat/>
    <w:uiPriority w:val="0"/>
    <w:rPr>
      <w:b/>
    </w:rPr>
  </w:style>
  <w:style w:type="paragraph" w:customStyle="1" w:styleId="7">
    <w:name w:val="Default"/>
    <w:unhideWhenUsed/>
    <w:qFormat/>
    <w:uiPriority w:val="99"/>
    <w:pPr>
      <w:widowControl w:val="0"/>
      <w:autoSpaceDE w:val="0"/>
      <w:autoSpaceDN w:val="0"/>
      <w:adjustRightInd w:val="0"/>
    </w:pPr>
    <w:rPr>
      <w:rFonts w:hint="eastAsia" w:ascii="方正仿宋_GBK" w:hAnsi="方正仿宋_GBK" w:eastAsia="方正仿宋_GBK" w:cs="Times New Roman"/>
      <w:color w:val="000000"/>
      <w:sz w:val="24"/>
      <w:szCs w:val="24"/>
      <w:lang w:val="en-US" w:eastAsia="zh-CN" w:bidi="ar-SA"/>
    </w:rPr>
  </w:style>
  <w:style w:type="paragraph" w:customStyle="1" w:styleId="8">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bd758af6-9382-4518-a47d-3634243da7b6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6540103</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17b56481-b3e0-4b8f-b463-6c094ee2dbae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6540103</paraID>
      <start xmlns="http://schemas.wps.cn/vas-ai-hub/contract-review">36</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f396634d-8caa-4a2c-916c-6b4f6124761e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6540103</paraID>
      <start xmlns="http://schemas.wps.cn/vas-ai-hub/contract-review">39</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12059e9a-5a4e-4b21-bc0e-02259d9ac6c5</errorID>
      <errorWord xmlns="http://schemas.wps.cn/vas-ai-hub/contract-review">急难愁盼的问题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急难愁盼问题</item>
      </candidateList>
      <explain xmlns="http://schemas.wps.cn/vas-ai-hub/contract-review"/>
      <paraID xmlns="http://schemas.wps.cn/vas-ai-hub/contract-review">76D0FB62</paraID>
      <start xmlns="http://schemas.wps.cn/vas-ai-hub/contract-review">60</start>
      <end xmlns="http://schemas.wps.cn/vas-ai-hub/contract-review">66</end>
      <status xmlns="http://schemas.wps.cn/vas-ai-hub/contract-review">modified</status>
      <modifiedWord xmlns="http://schemas.wps.cn/vas-ai-hub/contract-review">急难愁盼问题</modifiedWord>
      <trackRevisions xmlns="http://schemas.wps.cn/vas-ai-hub/contract-review">false</trackRevisions>
    </reviewItem>
    <reviewItem xmlns="http://schemas.wps.cn/vas-ai-hub/contract-review">
      <errorID xmlns="http://schemas.wps.cn/vas-ai-hub/contract-review">c917ab2d-afba-4ca0-9f9a-3107d6582051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1B00CAB8</paraID>
      <start xmlns="http://schemas.wps.cn/vas-ai-hub/contract-review">148</start>
      <end xmlns="http://schemas.wps.cn/vas-ai-hub/contract-review">149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178d13d4-0b56-4a25-80d0-faed4c170c1f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1B00CAB8</paraID>
      <start xmlns="http://schemas.wps.cn/vas-ai-hub/contract-review">153</start>
      <end xmlns="http://schemas.wps.cn/vas-ai-hub/contract-review">154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932075f1-c510-4ee5-a9f4-b291c8430dc3</errorID>
      <errorWord xmlns="http://schemas.wps.cn/vas-ai-hub/contract-review">城市网格化管理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城市精细化管理</item>
      </candidateList>
      <explain xmlns="http://schemas.wps.cn/vas-ai-hub/contract-review">词汇“城市精细化管理”在特定场景下为固定表述形式，请确认此处的“城市网格化管理”是否存在不当。</explain>
      <paraID xmlns="http://schemas.wps.cn/vas-ai-hub/contract-review">243E64CF</paraID>
      <start xmlns="http://schemas.wps.cn/vas-ai-hub/contract-review">69</start>
      <end xmlns="http://schemas.wps.cn/vas-ai-hub/contract-review">76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5b4f7634-49b8-4466-8ea3-b6f893d6a6c8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3DA12280</paraID>
      <start xmlns="http://schemas.wps.cn/vas-ai-hub/contract-review">33</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feb811e8-22a7-4bc3-beb1-abf250375dcb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3DA12280</paraID>
      <start xmlns="http://schemas.wps.cn/vas-ai-hub/contract-review">38</start>
      <end xmlns="http://schemas.wps.cn/vas-ai-hub/contract-review">39</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1BEFEF-8D39-4C46-9A33-67E9F9F0693B}">
  <ds:schemaRefs/>
</ds:datastoreItem>
</file>

<file path=docProps/app.xml><?xml version="1.0" encoding="utf-8"?>
<Properties xmlns="http://schemas.openxmlformats.org/officeDocument/2006/extended-properties" xmlns:vt="http://schemas.openxmlformats.org/officeDocument/2006/docPropsVTypes">
  <Template>Normal.dotm</Template>
  <Pages>9</Pages>
  <Words>5288</Words>
  <Characters>5315</Characters>
  <Lines>36</Lines>
  <Paragraphs>10</Paragraphs>
  <TotalTime>11</TotalTime>
  <ScaleCrop>false</ScaleCrop>
  <LinksUpToDate>false</LinksUpToDate>
  <CharactersWithSpaces>5320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2026-07-24T23:14:00Z</dcterms:created>
  <dc:creator>qyx</dc:creator>
  <cp:lastModifiedBy>A</cp:lastModifiedBy>
  <cp:lastPrinted>2026-09-18T11:30:00Z</cp:lastPrinted>
  <dcterms:modified xsi:type="dcterms:W3CDTF">2026-09-18T14:28:08Z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79FE97CF27706278F8D9AC6A606AB736_43</vt:lpwstr>
  </property>
  <property fmtid="{D5CDD505-2E9C-101B-9397-08002B2CF9AE}" pid="4" name="KSOTemplateDocerSaveRecord">
    <vt:lpwstr>eyJoZGlkIjoiYWMxM2VlZDA5OTlkZDJmZmZkODhmYTc2OGY2Yjk4MGQiLCJ1c2VySWQiOiIzMTg3MDM4NDgifQ==</vt:lpwstr>
  </property>
  <property fmtid="{D5CDD505-2E9C-101B-9397-08002B2CF9AE}" pid="5" name="MSIP_Label_a618d1e0-f5d7-4da7-8ddd-3b83021a2c85_Enabled">
    <vt:lpwstr>true</vt:lpwstr>
  </property>
  <property fmtid="{D5CDD505-2E9C-101B-9397-08002B2CF9AE}" pid="6" name="MSIP_Label_a618d1e0-f5d7-4da7-8ddd-3b83021a2c85_SetDate">
    <vt:lpwstr>2026-07-24T07:14:18Z</vt:lpwstr>
  </property>
  <property fmtid="{D5CDD505-2E9C-101B-9397-08002B2CF9AE}" pid="7" name="MSIP_Label_a618d1e0-f5d7-4da7-8ddd-3b83021a2c85_Method">
    <vt:lpwstr>Standard</vt:lpwstr>
  </property>
  <property fmtid="{D5CDD505-2E9C-101B-9397-08002B2CF9AE}" pid="8" name="MSIP_Label_a618d1e0-f5d7-4da7-8ddd-3b83021a2c85_Name">
    <vt:lpwstr>Private</vt:lpwstr>
  </property>
  <property fmtid="{D5CDD505-2E9C-101B-9397-08002B2CF9AE}" pid="9" name="MSIP_Label_a618d1e0-f5d7-4da7-8ddd-3b83021a2c85_SiteId">
    <vt:lpwstr>ae323139-093a-4d2a-81a6-5d334bcd9019</vt:lpwstr>
  </property>
  <property fmtid="{D5CDD505-2E9C-101B-9397-08002B2CF9AE}" pid="10" name="MSIP_Label_a618d1e0-f5d7-4da7-8ddd-3b83021a2c85_ActionId">
    <vt:lpwstr>3d90bd68-ab5b-4086-b94f-a5489c4fbb27</vt:lpwstr>
  </property>
  <property fmtid="{D5CDD505-2E9C-101B-9397-08002B2CF9AE}" pid="11" name="MSIP_Label_a618d1e0-f5d7-4da7-8ddd-3b83021a2c85_ContentBits">
    <vt:lpwstr>0</vt:lpwstr>
  </property>
  <property fmtid="{D5CDD505-2E9C-101B-9397-08002B2CF9AE}" pid="12" name="MSIP_Label_a618d1e0-f5d7-4da7-8ddd-3b83021a2c85_Tag">
    <vt:lpwstr>10, 3, 0, 1</vt:lpwstr>
  </property>
</Properties>
</file>