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BF369">
      <w:pPr>
        <w:ind w:firstLine="0" w:firstLineChars="0"/>
        <w:rPr>
          <w:rFonts w:hint="default" w:ascii="Times New Roman" w:hAnsi="Times New Roman" w:cs="Times New Roman"/>
        </w:rPr>
      </w:pPr>
    </w:p>
    <w:p w14:paraId="0695F258">
      <w:pPr>
        <w:ind w:firstLine="0" w:firstLineChars="0"/>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-179070</wp:posOffset>
                </wp:positionH>
                <wp:positionV relativeFrom="paragraph">
                  <wp:posOffset>575945</wp:posOffset>
                </wp:positionV>
                <wp:extent cx="5682615" cy="2508250"/>
                <wp:effectExtent l="4445" t="4445" r="8890" b="20955"/>
                <wp:wrapNone/>
                <wp:docPr id="216639998"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682615" cy="2508250"/>
                        </a:xfrm>
                        <a:prstGeom prst="rect">
                          <a:avLst/>
                        </a:prstGeom>
                        <a:solidFill>
                          <a:srgbClr val="FFFFFF"/>
                        </a:solidFill>
                        <a:ln w="9525">
                          <a:solidFill>
                            <a:srgbClr val="FFFFFF"/>
                          </a:solidFill>
                          <a:miter lim="800000"/>
                        </a:ln>
                      </wps:spPr>
                      <wps:txbx>
                        <w:txbxContent>
                          <w:p w14:paraId="533CB6B9">
                            <w:pPr>
                              <w:ind w:firstLine="1020"/>
                              <w:jc w:val="center"/>
                              <w:rPr>
                                <w:rFonts w:hint="eastAsia" w:ascii="黑体" w:hAnsi="黑体" w:eastAsia="黑体" w:cs="Arial Unicode MS"/>
                                <w:b/>
                                <w:sz w:val="52"/>
                                <w:szCs w:val="48"/>
                              </w:rPr>
                            </w:pPr>
                          </w:p>
                          <w:p w14:paraId="5B3AC487">
                            <w:pPr>
                              <w:spacing w:line="900" w:lineRule="exact"/>
                              <w:ind w:firstLine="0" w:firstLineChars="0"/>
                              <w:jc w:val="center"/>
                              <w:rPr>
                                <w:rFonts w:eastAsia="方正小标宋简体" w:cs="Times New Roman"/>
                                <w:bCs/>
                                <w:sz w:val="48"/>
                                <w:szCs w:val="44"/>
                              </w:rPr>
                            </w:pPr>
                            <w:r>
                              <w:rPr>
                                <w:rFonts w:eastAsia="方正小标宋简体" w:cs="Times New Roman"/>
                                <w:bCs/>
                                <w:sz w:val="48"/>
                                <w:szCs w:val="44"/>
                              </w:rPr>
                              <w:t>太仓市“十五五”青年发展型城市与</w:t>
                            </w:r>
                          </w:p>
                          <w:p w14:paraId="78924967">
                            <w:pPr>
                              <w:spacing w:line="900" w:lineRule="exact"/>
                              <w:ind w:firstLine="0" w:firstLineChars="0"/>
                              <w:jc w:val="center"/>
                              <w:rPr>
                                <w:rFonts w:eastAsia="方正小标宋简体" w:cs="Times New Roman"/>
                                <w:bCs/>
                                <w:sz w:val="48"/>
                                <w:szCs w:val="44"/>
                              </w:rPr>
                            </w:pPr>
                            <w:r>
                              <w:rPr>
                                <w:rFonts w:eastAsia="方正小标宋简体" w:cs="Times New Roman"/>
                                <w:bCs/>
                                <w:sz w:val="48"/>
                                <w:szCs w:val="44"/>
                              </w:rPr>
                              <w:t>高质量人力资源体系建设规划</w:t>
                            </w:r>
                          </w:p>
                          <w:p w14:paraId="1F16F6DF">
                            <w:pPr>
                              <w:spacing w:line="900" w:lineRule="exact"/>
                              <w:ind w:firstLine="0" w:firstLineChars="0"/>
                              <w:jc w:val="center"/>
                              <w:rPr>
                                <w:rFonts w:eastAsia="方正小标宋简体" w:cs="Times New Roman"/>
                                <w:bCs/>
                                <w:sz w:val="40"/>
                                <w:szCs w:val="40"/>
                              </w:rPr>
                            </w:pPr>
                          </w:p>
                        </w:txbxContent>
                      </wps:txbx>
                      <wps:bodyPr rot="0" vert="horz" wrap="square" lIns="91440" tIns="45720" rIns="91440" bIns="45720" anchor="t" anchorCtr="0" upright="1">
                        <a:noAutofit/>
                      </wps:bodyPr>
                    </wps:wsp>
                  </a:graphicData>
                </a:graphic>
              </wp:anchor>
            </w:drawing>
          </mc:Choice>
          <mc:Fallback>
            <w:pict>
              <v:shape id="文本框 3" o:spid="_x0000_s1026" o:spt="202" type="#_x0000_t202" style="position:absolute;left:0pt;margin-left:-14.1pt;margin-top:45.35pt;height:197.5pt;width:447.45pt;z-index:251659264;mso-width-relative:page;mso-height-relative:page;" fillcolor="#FFFFFF" filled="t" stroked="t" coordsize="21600,21600" o:gfxdata="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BRguJrZAAAACgEAAA8AAAAAAAAAAQAg&#10;AAAAIgAAAGRycy9kb3ducmV2LnhtbFBLAQIUABQAAAAIAIdO4kBsW+5HRgIAAJAEAAAOAAAAAAAA&#10;AAEAIAAAACgBAABkcnMvZTJvRG9jLnhtbFBLBQYAAAAABgAGAFkBAADgBQAAAAA=&#10;">
                <v:fill on="t" focussize="0,0"/>
                <v:stroke color="#FFFFFF" miterlimit="8" joinstyle="miter"/>
                <v:imagedata o:title=""/>
                <o:lock v:ext="edit" aspectratio="f"/>
                <v:textbox>
                  <w:txbxContent>
                    <w:p w14:paraId="533CB6B9">
                      <w:pPr>
                        <w:ind w:firstLine="1020"/>
                        <w:jc w:val="center"/>
                        <w:rPr>
                          <w:rFonts w:hint="eastAsia" w:ascii="黑体" w:hAnsi="黑体" w:eastAsia="黑体" w:cs="Arial Unicode MS"/>
                          <w:b/>
                          <w:sz w:val="52"/>
                          <w:szCs w:val="48"/>
                        </w:rPr>
                      </w:pPr>
                    </w:p>
                    <w:p w14:paraId="5B3AC487">
                      <w:pPr>
                        <w:spacing w:line="900" w:lineRule="exact"/>
                        <w:ind w:firstLine="0" w:firstLineChars="0"/>
                        <w:jc w:val="center"/>
                        <w:rPr>
                          <w:rFonts w:eastAsia="方正小标宋简体" w:cs="Times New Roman"/>
                          <w:bCs/>
                          <w:sz w:val="48"/>
                          <w:szCs w:val="44"/>
                        </w:rPr>
                      </w:pPr>
                      <w:r>
                        <w:rPr>
                          <w:rFonts w:eastAsia="方正小标宋简体" w:cs="Times New Roman"/>
                          <w:bCs/>
                          <w:sz w:val="48"/>
                          <w:szCs w:val="44"/>
                        </w:rPr>
                        <w:t>太仓市“十五五”青年发展型城市与</w:t>
                      </w:r>
                    </w:p>
                    <w:p w14:paraId="78924967">
                      <w:pPr>
                        <w:spacing w:line="900" w:lineRule="exact"/>
                        <w:ind w:firstLine="0" w:firstLineChars="0"/>
                        <w:jc w:val="center"/>
                        <w:rPr>
                          <w:rFonts w:eastAsia="方正小标宋简体" w:cs="Times New Roman"/>
                          <w:bCs/>
                          <w:sz w:val="48"/>
                          <w:szCs w:val="44"/>
                        </w:rPr>
                      </w:pPr>
                      <w:r>
                        <w:rPr>
                          <w:rFonts w:eastAsia="方正小标宋简体" w:cs="Times New Roman"/>
                          <w:bCs/>
                          <w:sz w:val="48"/>
                          <w:szCs w:val="44"/>
                        </w:rPr>
                        <w:t>高质量人力资源体系建设规划</w:t>
                      </w:r>
                    </w:p>
                    <w:p w14:paraId="1F16F6DF">
                      <w:pPr>
                        <w:spacing w:line="900" w:lineRule="exact"/>
                        <w:ind w:firstLine="0" w:firstLineChars="0"/>
                        <w:jc w:val="center"/>
                        <w:rPr>
                          <w:rFonts w:eastAsia="方正小标宋简体" w:cs="Times New Roman"/>
                          <w:bCs/>
                          <w:sz w:val="40"/>
                          <w:szCs w:val="40"/>
                        </w:rPr>
                      </w:pPr>
                    </w:p>
                  </w:txbxContent>
                </v:textbox>
              </v:shape>
            </w:pict>
          </mc:Fallback>
        </mc:AlternateContent>
      </w:r>
    </w:p>
    <w:p w14:paraId="417EBC5C">
      <w:pPr>
        <w:ind w:firstLine="616"/>
        <w:rPr>
          <w:rFonts w:hint="default" w:ascii="Times New Roman" w:hAnsi="Times New Roman" w:cs="Times New Roman"/>
        </w:rPr>
      </w:pPr>
    </w:p>
    <w:p w14:paraId="360CFD93">
      <w:pPr>
        <w:ind w:firstLine="616"/>
        <w:rPr>
          <w:rFonts w:hint="default" w:ascii="Times New Roman" w:hAnsi="Times New Roman" w:cs="Times New Roman"/>
        </w:rPr>
      </w:pPr>
    </w:p>
    <w:p w14:paraId="2B68B650">
      <w:pPr>
        <w:ind w:firstLine="616"/>
        <w:rPr>
          <w:rFonts w:hint="default" w:ascii="Times New Roman" w:hAnsi="Times New Roman" w:cs="Times New Roman"/>
        </w:rPr>
      </w:pPr>
    </w:p>
    <w:p w14:paraId="6B26E098">
      <w:pPr>
        <w:ind w:firstLine="616"/>
        <w:rPr>
          <w:rFonts w:hint="default" w:ascii="Times New Roman" w:hAnsi="Times New Roman" w:cs="Times New Roman"/>
        </w:rPr>
      </w:pPr>
    </w:p>
    <w:p w14:paraId="4D8316A3">
      <w:pPr>
        <w:ind w:firstLine="616"/>
        <w:rPr>
          <w:rFonts w:hint="default" w:ascii="Times New Roman" w:hAnsi="Times New Roman" w:cs="Times New Roman"/>
        </w:rPr>
      </w:pPr>
    </w:p>
    <w:p w14:paraId="390848F3">
      <w:pPr>
        <w:ind w:firstLine="616"/>
        <w:rPr>
          <w:rFonts w:hint="default" w:ascii="Times New Roman" w:hAnsi="Times New Roman" w:cs="Times New Roman"/>
        </w:rPr>
      </w:pPr>
    </w:p>
    <w:p w14:paraId="0DE37509">
      <w:pPr>
        <w:ind w:firstLine="616"/>
        <w:rPr>
          <w:rFonts w:hint="default" w:ascii="Times New Roman" w:hAnsi="Times New Roman"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2041" w:right="1474" w:bottom="1928" w:left="1587" w:header="851" w:footer="992" w:gutter="0"/>
          <w:pgNumType w:fmt="decimal" w:start="1"/>
          <w:cols w:space="425" w:num="1"/>
          <w:docGrid w:type="lines" w:linePitch="312" w:charSpace="0"/>
        </w:sectPr>
      </w:pPr>
    </w:p>
    <w:p w14:paraId="6A0D9D2E">
      <w:pPr>
        <w:ind w:firstLine="0" w:firstLineChars="0"/>
        <w:rPr>
          <w:rFonts w:hint="default" w:ascii="Times New Roman" w:hAnsi="Times New Roman" w:cs="Times New Roman"/>
        </w:rPr>
      </w:pPr>
    </w:p>
    <w:sdt>
      <w:sdtPr>
        <w:rPr>
          <w:rFonts w:hint="default" w:ascii="Times New Roman" w:hAnsi="Times New Roman" w:cs="Times New Roman" w:eastAsiaTheme="minorEastAsia"/>
          <w:b w:val="0"/>
          <w:bCs w:val="0"/>
          <w:color w:val="auto"/>
          <w:spacing w:val="0"/>
          <w:kern w:val="2"/>
          <w:sz w:val="24"/>
          <w:szCs w:val="24"/>
          <w:lang w:val="zh-CN"/>
        </w:rPr>
        <w:id w:val="503246745"/>
        <w:docPartObj>
          <w:docPartGallery w:val="Table of Contents"/>
          <w:docPartUnique/>
        </w:docPartObj>
      </w:sdtPr>
      <w:sdtEndPr>
        <w:rPr>
          <w:rFonts w:hint="default" w:ascii="Times New Roman" w:hAnsi="Times New Roman" w:eastAsia="仿宋_GB2312" w:cs="Times New Roman"/>
          <w:b w:val="0"/>
          <w:bCs w:val="0"/>
          <w:color w:val="auto"/>
          <w:spacing w:val="0"/>
          <w:kern w:val="2"/>
          <w:sz w:val="28"/>
          <w:szCs w:val="28"/>
          <w:lang w:val="zh-CN"/>
        </w:rPr>
      </w:sdtEndPr>
      <w:sdtContent>
        <w:p w14:paraId="2753CF6B">
          <w:pPr>
            <w:pStyle w:val="12"/>
            <w:spacing w:before="156"/>
            <w:ind w:firstLine="0" w:firstLineChars="0"/>
            <w:jc w:val="center"/>
            <w:rPr>
              <w:rFonts w:hint="default" w:ascii="Times New Roman" w:hAnsi="Times New Roman" w:eastAsia="仿宋" w:cs="Times New Roman"/>
              <w:color w:val="auto"/>
              <w:sz w:val="36"/>
              <w:szCs w:val="36"/>
            </w:rPr>
          </w:pPr>
          <w:r>
            <w:rPr>
              <w:rFonts w:hint="eastAsia" w:ascii="方正小标宋简体" w:hAnsi="方正小标宋简体" w:eastAsia="方正小标宋简体" w:cs="方正小标宋简体"/>
              <w:b w:val="0"/>
              <w:bCs w:val="0"/>
              <w:color w:val="auto"/>
              <w:sz w:val="44"/>
              <w:szCs w:val="44"/>
              <w:lang w:val="zh-CN"/>
            </w:rPr>
            <w:t>目</w:t>
          </w:r>
          <w:r>
            <w:rPr>
              <w:rFonts w:hint="eastAsia" w:ascii="方正小标宋简体" w:hAnsi="方正小标宋简体" w:eastAsia="方正小标宋简体" w:cs="方正小标宋简体"/>
              <w:b w:val="0"/>
              <w:bCs w:val="0"/>
              <w:color w:val="auto"/>
              <w:sz w:val="44"/>
              <w:szCs w:val="44"/>
              <w:lang w:val="en-US" w:eastAsia="zh-CN"/>
            </w:rPr>
            <w:t xml:space="preserve"> </w:t>
          </w:r>
          <w:r>
            <w:rPr>
              <w:rFonts w:hint="eastAsia" w:ascii="方正小标宋简体" w:hAnsi="方正小标宋简体" w:eastAsia="方正小标宋简体" w:cs="方正小标宋简体"/>
              <w:b w:val="0"/>
              <w:bCs w:val="0"/>
              <w:color w:val="auto"/>
              <w:sz w:val="44"/>
              <w:szCs w:val="44"/>
              <w:lang w:val="zh-CN"/>
            </w:rPr>
            <w:t>录</w:t>
          </w:r>
        </w:p>
        <w:p w14:paraId="1919904B">
          <w:pPr>
            <w:pStyle w:val="6"/>
            <w:tabs>
              <w:tab w:val="right" w:leader="dot" w:pos="8845"/>
              <w:tab w:val="clear" w:pos="8296"/>
            </w:tabs>
            <w:rPr>
              <w:rFonts w:hint="default" w:ascii="Times New Roman" w:hAnsi="Times New Roman" w:cs="Times New Roman"/>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TOC \o "1-3" \h \z \u </w:instrText>
          </w:r>
          <w:r>
            <w:rPr>
              <w:rFonts w:hint="default" w:ascii="Times New Roman" w:hAnsi="Times New Roman" w:eastAsia="仿宋_GB2312" w:cs="Times New Roman"/>
              <w:sz w:val="28"/>
              <w:szCs w:val="28"/>
            </w:rPr>
            <w:fldChar w:fldCharType="separate"/>
          </w:r>
          <w:r>
            <w:rPr>
              <w:rFonts w:hint="default" w:ascii="Times New Roman" w:hAnsi="Times New Roman" w:eastAsia="黑体" w:cs="Times New Roman"/>
              <w:szCs w:val="28"/>
            </w:rPr>
            <w:fldChar w:fldCharType="begin"/>
          </w:r>
          <w:r>
            <w:rPr>
              <w:rFonts w:hint="default" w:ascii="Times New Roman" w:hAnsi="Times New Roman" w:eastAsia="黑体" w:cs="Times New Roman"/>
              <w:szCs w:val="28"/>
            </w:rPr>
            <w:instrText xml:space="preserve"> HYPERLINK \l _Toc23762 </w:instrText>
          </w:r>
          <w:r>
            <w:rPr>
              <w:rFonts w:hint="default" w:ascii="Times New Roman" w:hAnsi="Times New Roman" w:eastAsia="黑体" w:cs="Times New Roman"/>
              <w:szCs w:val="28"/>
            </w:rPr>
            <w:fldChar w:fldCharType="separate"/>
          </w:r>
          <w:r>
            <w:rPr>
              <w:rFonts w:hint="default" w:ascii="Times New Roman" w:hAnsi="Times New Roman" w:eastAsia="黑体" w:cs="Times New Roman"/>
            </w:rPr>
            <w:t>前  言</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_Toc23762 \h </w:instrText>
          </w:r>
          <w:r>
            <w:rPr>
              <w:rFonts w:hint="default" w:ascii="Times New Roman" w:hAnsi="Times New Roman" w:eastAsia="黑体" w:cs="Times New Roman"/>
            </w:rPr>
            <w:fldChar w:fldCharType="separate"/>
          </w:r>
          <w:r>
            <w:rPr>
              <w:rFonts w:hint="default" w:ascii="Times New Roman" w:hAnsi="Times New Roman" w:eastAsia="黑体" w:cs="Times New Roman"/>
            </w:rPr>
            <w:t>1</w:t>
          </w:r>
          <w:r>
            <w:rPr>
              <w:rFonts w:hint="default" w:ascii="Times New Roman" w:hAnsi="Times New Roman" w:eastAsia="黑体" w:cs="Times New Roman"/>
            </w:rPr>
            <w:fldChar w:fldCharType="end"/>
          </w:r>
          <w:r>
            <w:rPr>
              <w:rFonts w:hint="default" w:ascii="Times New Roman" w:hAnsi="Times New Roman" w:eastAsia="黑体" w:cs="Times New Roman"/>
              <w:szCs w:val="28"/>
            </w:rPr>
            <w:fldChar w:fldCharType="end"/>
          </w:r>
        </w:p>
        <w:p w14:paraId="5D562EDF">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_Toc32396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一、“十四五”期</w:t>
          </w:r>
          <w:r>
            <w:rPr>
              <w:rFonts w:hint="default" w:ascii="Times New Roman" w:hAnsi="Times New Roman" w:eastAsia="黑体" w:cs="Times New Roman"/>
              <w:b w:val="0"/>
              <w:bCs w:val="0"/>
            </w:rPr>
            <w:t>间</w:t>
          </w:r>
          <w:r>
            <w:rPr>
              <w:rFonts w:hint="default" w:ascii="Times New Roman" w:hAnsi="Times New Roman" w:eastAsia="黑体" w:cs="Times New Roman"/>
            </w:rPr>
            <w:t>太仓市青年发展型城市建设情况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_Toc32396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3E7D6DF4">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_Toc20285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（一）青年发展型城市建设</w:t>
          </w:r>
          <w:r>
            <w:rPr>
              <w:rFonts w:hint="default" w:ascii="Times New Roman" w:hAnsi="Times New Roman" w:eastAsia="楷体_GB2312" w:cs="Times New Roman"/>
              <w:szCs w:val="32"/>
              <w:lang w:val="en-US" w:eastAsia="zh-CN"/>
            </w:rPr>
            <w:t>成效明显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_Toc20285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6A59B04C">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_Toc31290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（二）青年发展型城市建设主要短板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_Toc31290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14431648">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_Toc9731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二、“十五五”时期工作的指导思想和总体目标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_Toc9731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6232DDC8">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_Toc20634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（一）指导思想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_Toc20634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6EDC9FAD">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_Toc27248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（二）基本原则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_Toc27248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15BEDBEB">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_Toc9680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（三）总体目标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_Toc9680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06426548">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_Toc6136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三、建设锦绣田园青年向往之城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_Toc6136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17A18DB5">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_Toc22489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（一）构建青年发展型城市空间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_Toc22489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1540799D">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_Toc2967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（二）营造青年发展型文化氛围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_Toc2967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61C5FDA6">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_Toc13039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四、建设智造创新青年乐业之城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_Toc13039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1B105771">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_Toc24352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（一）优化青年施展才华就业环境</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_Toc24352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1033BB06">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_Toc30222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（二）激励青年投身创新创业热潮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_Toc30222 \h </w:instrText>
          </w:r>
          <w:r>
            <w:rPr>
              <w:rFonts w:hint="default" w:ascii="Times New Roman" w:hAnsi="Times New Roman" w:cs="Times New Roman"/>
            </w:rPr>
            <w:fldChar w:fldCharType="separate"/>
          </w:r>
          <w:r>
            <w:rPr>
              <w:rFonts w:hint="default" w:ascii="Times New Roman" w:hAnsi="Times New Roman" w:cs="Times New Roman"/>
            </w:rPr>
            <w:t>16</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7AE6D65F">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_Toc6195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五、建设育青护苗青年成长之城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_Toc6195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28CEE007">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_Toc4258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（一）筑牢青年教育成才基石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_Toc4258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652827A4">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_Toc4017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（二）守护青年身心健康成长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_Toc4017 \h </w:instrText>
          </w:r>
          <w:r>
            <w:rPr>
              <w:rFonts w:hint="default" w:ascii="Times New Roman" w:hAnsi="Times New Roman" w:cs="Times New Roman"/>
            </w:rPr>
            <w:fldChar w:fldCharType="separate"/>
          </w:r>
          <w:r>
            <w:rPr>
              <w:rFonts w:hint="default" w:ascii="Times New Roman" w:hAnsi="Times New Roman" w:cs="Times New Roman"/>
            </w:rPr>
            <w:t>20</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7FE86B32">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_Toc2723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（三）织密青年权益保护网络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_Toc2723 \h </w:instrText>
          </w:r>
          <w:r>
            <w:rPr>
              <w:rFonts w:hint="default" w:ascii="Times New Roman" w:hAnsi="Times New Roman" w:cs="Times New Roman"/>
            </w:rPr>
            <w:fldChar w:fldCharType="separate"/>
          </w:r>
          <w:r>
            <w:rPr>
              <w:rFonts w:hint="default" w:ascii="Times New Roman" w:hAnsi="Times New Roman" w:cs="Times New Roman"/>
            </w:rPr>
            <w:t>21</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2F81FA2F">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_Toc24028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六、建设品质生活青年乐享之城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_Toc24028 \h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70DBC982">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_Toc21172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（一）托举青年安居宜居梦想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_Toc21172 \h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2E536EB0">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_Toc14481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（二）打造青年文旅消费高地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_Toc14481 \h </w:instrText>
          </w:r>
          <w:r>
            <w:rPr>
              <w:rFonts w:hint="default" w:ascii="Times New Roman" w:hAnsi="Times New Roman" w:cs="Times New Roman"/>
            </w:rPr>
            <w:fldChar w:fldCharType="separate"/>
          </w:r>
          <w:r>
            <w:rPr>
              <w:rFonts w:hint="default" w:ascii="Times New Roman" w:hAnsi="Times New Roman" w:cs="Times New Roman"/>
            </w:rPr>
            <w:t>24</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34272279">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_Toc18935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（三）护航青年婚恋育养全链条</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_Toc18935 \h </w:instrText>
          </w:r>
          <w:r>
            <w:rPr>
              <w:rFonts w:hint="default" w:ascii="Times New Roman" w:hAnsi="Times New Roman" w:cs="Times New Roman"/>
            </w:rPr>
            <w:fldChar w:fldCharType="separate"/>
          </w:r>
          <w:r>
            <w:rPr>
              <w:rFonts w:hint="default" w:ascii="Times New Roman" w:hAnsi="Times New Roman" w:cs="Times New Roman"/>
            </w:rPr>
            <w:t>25</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03F89AEE">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_Toc23614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七、建设向上向善青年文明之城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_Toc23614 \h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4C9E85A7">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_Toc25520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（一）引领青年坚定理想信念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_Toc25520 \h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30FACA0F">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_Toc7543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（二）搭建青年社会参与融入桥梁</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_Toc7543 \h </w:instrText>
          </w:r>
          <w:r>
            <w:rPr>
              <w:rFonts w:hint="default" w:ascii="Times New Roman" w:hAnsi="Times New Roman" w:cs="Times New Roman"/>
            </w:rPr>
            <w:fldChar w:fldCharType="separate"/>
          </w:r>
          <w:r>
            <w:rPr>
              <w:rFonts w:hint="default" w:ascii="Times New Roman" w:hAnsi="Times New Roman" w:cs="Times New Roman"/>
            </w:rPr>
            <w:t>29</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73AABE3A">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_Toc7929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（三）守护青年清朗网络空间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_Toc7929 \h </w:instrText>
          </w:r>
          <w:r>
            <w:rPr>
              <w:rFonts w:hint="default" w:ascii="Times New Roman" w:hAnsi="Times New Roman" w:cs="Times New Roman"/>
            </w:rPr>
            <w:fldChar w:fldCharType="separate"/>
          </w:r>
          <w:r>
            <w:rPr>
              <w:rFonts w:hint="default" w:ascii="Times New Roman" w:hAnsi="Times New Roman" w:cs="Times New Roman"/>
            </w:rPr>
            <w:t>29</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557537CF">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_Toc28770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八、实施“荟青英・筑青城”十大工程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_Toc28770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59215FEA">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_Toc4877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（一）领航铸魂工程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_Toc4877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3B744A00">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_Toc23630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（二）优教育才工程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_Toc23630 \h </w:instrText>
          </w:r>
          <w:r>
            <w:rPr>
              <w:rFonts w:hint="default" w:ascii="Times New Roman" w:hAnsi="Times New Roman" w:cs="Times New Roman"/>
            </w:rPr>
            <w:fldChar w:fldCharType="separate"/>
          </w:r>
          <w:r>
            <w:rPr>
              <w:rFonts w:hint="default" w:ascii="Times New Roman" w:hAnsi="Times New Roman" w:cs="Times New Roman"/>
            </w:rPr>
            <w:t>31</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6789DF68">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_Toc19189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（三）健康护航工程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_Toc19189 \h </w:instrText>
          </w:r>
          <w:r>
            <w:rPr>
              <w:rFonts w:hint="default" w:ascii="Times New Roman" w:hAnsi="Times New Roman" w:cs="Times New Roman"/>
            </w:rPr>
            <w:fldChar w:fldCharType="separate"/>
          </w:r>
          <w:r>
            <w:rPr>
              <w:rFonts w:hint="default" w:ascii="Times New Roman" w:hAnsi="Times New Roman" w:cs="Times New Roman"/>
            </w:rPr>
            <w:t>31</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7F859726">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_Toc17711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（四）聚才引智工程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_Toc17711 \h </w:instrText>
          </w:r>
          <w:r>
            <w:rPr>
              <w:rFonts w:hint="default" w:ascii="Times New Roman" w:hAnsi="Times New Roman" w:cs="Times New Roman"/>
            </w:rPr>
            <w:fldChar w:fldCharType="separate"/>
          </w:r>
          <w:r>
            <w:rPr>
              <w:rFonts w:hint="default" w:ascii="Times New Roman" w:hAnsi="Times New Roman" w:cs="Times New Roman"/>
            </w:rPr>
            <w:t>32</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7104C241">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_Toc21410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（五）安居乐居工程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_Toc21410 \h </w:instrText>
          </w:r>
          <w:r>
            <w:rPr>
              <w:rFonts w:hint="default" w:ascii="Times New Roman" w:hAnsi="Times New Roman" w:cs="Times New Roman"/>
            </w:rPr>
            <w:fldChar w:fldCharType="separate"/>
          </w:r>
          <w:r>
            <w:rPr>
              <w:rFonts w:hint="default" w:ascii="Times New Roman" w:hAnsi="Times New Roman" w:cs="Times New Roman"/>
            </w:rPr>
            <w:t>33</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2577FB7C">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_Toc474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（六）乐业赋能工程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_Toc474 \h </w:instrText>
          </w:r>
          <w:r>
            <w:rPr>
              <w:rFonts w:hint="default" w:ascii="Times New Roman" w:hAnsi="Times New Roman" w:cs="Times New Roman"/>
            </w:rPr>
            <w:fldChar w:fldCharType="separate"/>
          </w:r>
          <w:r>
            <w:rPr>
              <w:rFonts w:hint="default" w:ascii="Times New Roman" w:hAnsi="Times New Roman" w:cs="Times New Roman"/>
            </w:rPr>
            <w:t>33</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2E2870CE">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_Toc14254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（七）创启未来工程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_Toc14254 \h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73DE83FA">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_Toc11568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（八）乐享焕新工程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_Toc11568 \h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3CE7D143">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_Toc15968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（九）建功兴城工程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_Toc15968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5CFF4CE9">
          <w:pPr>
            <w:pStyle w:val="7"/>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_Toc20893 </w:instrText>
          </w:r>
          <w:r>
            <w:rPr>
              <w:rFonts w:hint="default" w:ascii="Times New Roman" w:hAnsi="Times New Roman" w:cs="Times New Roman"/>
              <w:bCs/>
              <w:szCs w:val="28"/>
              <w:lang w:val="zh-CN"/>
            </w:rPr>
            <w:fldChar w:fldCharType="separate"/>
          </w:r>
          <w:r>
            <w:rPr>
              <w:rFonts w:hint="default" w:ascii="Times New Roman" w:hAnsi="Times New Roman" w:eastAsia="楷体_GB2312" w:cs="Times New Roman"/>
              <w:szCs w:val="32"/>
            </w:rPr>
            <w:t>（十）暖心守护工程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_Toc20893 \h </w:instrText>
          </w:r>
          <w:r>
            <w:rPr>
              <w:rFonts w:hint="default" w:ascii="Times New Roman" w:hAnsi="Times New Roman" w:cs="Times New Roman"/>
            </w:rPr>
            <w:fldChar w:fldCharType="separate"/>
          </w:r>
          <w:r>
            <w:rPr>
              <w:rFonts w:hint="default" w:ascii="Times New Roman" w:hAnsi="Times New Roman" w:cs="Times New Roman"/>
            </w:rPr>
            <w:t>36</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62024CA4">
          <w:pPr>
            <w:pStyle w:val="6"/>
            <w:tabs>
              <w:tab w:val="right" w:leader="dot" w:pos="8845"/>
              <w:tab w:val="clear" w:pos="8296"/>
            </w:tabs>
            <w:rPr>
              <w:rFonts w:hint="default" w:ascii="Times New Roman" w:hAnsi="Times New Roman" w:cs="Times New Roman"/>
            </w:rPr>
          </w:pPr>
          <w:r>
            <w:rPr>
              <w:rFonts w:hint="default" w:ascii="Times New Roman" w:hAnsi="Times New Roman" w:cs="Times New Roman"/>
              <w:bCs/>
              <w:szCs w:val="28"/>
              <w:lang w:val="zh-CN"/>
            </w:rPr>
            <w:fldChar w:fldCharType="begin"/>
          </w:r>
          <w:r>
            <w:rPr>
              <w:rFonts w:hint="default" w:ascii="Times New Roman" w:hAnsi="Times New Roman" w:cs="Times New Roman"/>
              <w:bCs/>
              <w:szCs w:val="28"/>
              <w:lang w:val="zh-CN"/>
            </w:rPr>
            <w:instrText xml:space="preserve"> HYPERLINK \l _Toc12204 </w:instrText>
          </w:r>
          <w:r>
            <w:rPr>
              <w:rFonts w:hint="default" w:ascii="Times New Roman" w:hAnsi="Times New Roman" w:cs="Times New Roman"/>
              <w:bCs/>
              <w:szCs w:val="28"/>
              <w:lang w:val="zh-CN"/>
            </w:rPr>
            <w:fldChar w:fldCharType="separate"/>
          </w:r>
          <w:r>
            <w:rPr>
              <w:rFonts w:hint="default" w:ascii="Times New Roman" w:hAnsi="Times New Roman" w:eastAsia="黑体" w:cs="Times New Roman"/>
            </w:rPr>
            <w:t>九、组织实施</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_Toc12204 \h </w:instrText>
          </w:r>
          <w:r>
            <w:rPr>
              <w:rFonts w:hint="default" w:ascii="Times New Roman" w:hAnsi="Times New Roman" w:cs="Times New Roman"/>
            </w:rPr>
            <w:fldChar w:fldCharType="separate"/>
          </w:r>
          <w:r>
            <w:rPr>
              <w:rFonts w:hint="default" w:ascii="Times New Roman" w:hAnsi="Times New Roman" w:cs="Times New Roman"/>
            </w:rPr>
            <w:t>37</w:t>
          </w:r>
          <w:r>
            <w:rPr>
              <w:rFonts w:hint="default" w:ascii="Times New Roman" w:hAnsi="Times New Roman" w:cs="Times New Roman"/>
            </w:rPr>
            <w:fldChar w:fldCharType="end"/>
          </w:r>
          <w:r>
            <w:rPr>
              <w:rFonts w:hint="default" w:ascii="Times New Roman" w:hAnsi="Times New Roman" w:cs="Times New Roman"/>
              <w:bCs/>
              <w:szCs w:val="28"/>
              <w:lang w:val="zh-CN"/>
            </w:rPr>
            <w:fldChar w:fldCharType="end"/>
          </w:r>
        </w:p>
        <w:p w14:paraId="73FF3FB4">
          <w:pPr>
            <w:tabs>
              <w:tab w:val="left" w:pos="5328"/>
            </w:tabs>
            <w:ind w:firstLine="562"/>
            <w:jc w:val="left"/>
            <w:rPr>
              <w:rFonts w:hint="default" w:ascii="Times New Roman" w:hAnsi="Times New Roman" w:cs="Times New Roman"/>
              <w:spacing w:val="0"/>
              <w:sz w:val="28"/>
              <w:szCs w:val="28"/>
              <w:lang w:val="zh-CN"/>
            </w:rPr>
          </w:pPr>
          <w:r>
            <w:rPr>
              <w:rFonts w:hint="default" w:ascii="Times New Roman" w:hAnsi="Times New Roman" w:cs="Times New Roman"/>
              <w:bCs/>
              <w:szCs w:val="28"/>
              <w:lang w:val="zh-CN"/>
            </w:rPr>
            <w:fldChar w:fldCharType="end"/>
          </w:r>
        </w:p>
      </w:sdtContent>
    </w:sdt>
    <w:p w14:paraId="223BCB23">
      <w:pPr>
        <w:ind w:firstLine="0" w:firstLineChars="0"/>
        <w:rPr>
          <w:rFonts w:hint="default" w:ascii="Times New Roman" w:hAnsi="Times New Roman" w:cs="Times New Roman"/>
          <w:spacing w:val="0"/>
          <w:sz w:val="28"/>
          <w:szCs w:val="28"/>
        </w:rPr>
        <w:sectPr>
          <w:footerReference r:id="rId11" w:type="default"/>
          <w:pgSz w:w="11906" w:h="16838"/>
          <w:pgMar w:top="2041" w:right="1474" w:bottom="1928" w:left="1587" w:header="851" w:footer="992" w:gutter="0"/>
          <w:pgNumType w:fmt="decimal" w:start="1"/>
          <w:cols w:space="425" w:num="1"/>
          <w:docGrid w:type="lines" w:linePitch="312" w:charSpace="0"/>
        </w:sectPr>
      </w:pPr>
    </w:p>
    <w:p w14:paraId="6AECC32C">
      <w:pPr>
        <w:pStyle w:val="2"/>
        <w:spacing w:line="580" w:lineRule="exact"/>
        <w:ind w:firstLine="0" w:firstLineChars="0"/>
        <w:jc w:val="center"/>
        <w:rPr>
          <w:rFonts w:hint="default" w:ascii="Times New Roman" w:hAnsi="Times New Roman" w:cs="Times New Roman"/>
        </w:rPr>
      </w:pPr>
      <w:bookmarkStart w:id="0" w:name="_Toc23762"/>
      <w:r>
        <w:rPr>
          <w:rFonts w:hint="default" w:ascii="Times New Roman" w:hAnsi="Times New Roman" w:cs="Times New Roman"/>
        </w:rPr>
        <w:t>前  言</w:t>
      </w:r>
      <w:bookmarkEnd w:id="0"/>
    </w:p>
    <w:p w14:paraId="18085770">
      <w:pPr>
        <w:widowControl/>
        <w:ind w:firstLine="616"/>
        <w:rPr>
          <w:rFonts w:hint="default" w:ascii="Times New Roman" w:hAnsi="Times New Roman" w:cs="Times New Roman"/>
        </w:rPr>
      </w:pPr>
      <w:r>
        <w:rPr>
          <w:rFonts w:hint="default" w:ascii="Times New Roman" w:hAnsi="Times New Roman" w:cs="Times New Roman"/>
          <w:szCs w:val="32"/>
        </w:rPr>
        <w:t>青年是城市发展的活力源泉，人力资源是高质量发展的核心支撑。青年发展型城市建设为青年成长成才营造良好环境，高质量人力资源体系建设为城市发展集聚青年动能，二者相辅相成，共同构成太仓现代化建设全局中的重要战略支撑。当前，太仓正锚定“现代田园城、幸福金太仓”总目标，深度融入长三角一体化发展，全力打造中国式现代化县域实践的“太仓样本”。立足新发展阶段，统筹推进青年发展型城市建设与高质量人力资源体系建设，既是落实国家、省、市关于青年工作与人才工作决策部署的政治担当，也是顺应城市发展规律、激发城市创新活力、提升区域核心竞争力的必然选择。为系统谋划“十五五”时期太仓青年发展型城市建设与人力资源高质量发展，特编制本规划。</w:t>
      </w:r>
    </w:p>
    <w:p w14:paraId="130F1F42">
      <w:pPr>
        <w:pStyle w:val="2"/>
        <w:spacing w:line="580" w:lineRule="exact"/>
        <w:ind w:firstLine="616"/>
        <w:rPr>
          <w:rFonts w:hint="default" w:ascii="Times New Roman" w:hAnsi="Times New Roman" w:cs="Times New Roman"/>
        </w:rPr>
      </w:pPr>
      <w:bookmarkStart w:id="1" w:name="_Toc32396"/>
      <w:r>
        <w:rPr>
          <w:rFonts w:hint="default" w:ascii="Times New Roman" w:hAnsi="Times New Roman" w:cs="Times New Roman"/>
        </w:rPr>
        <w:t>一、“十四五”期间太仓市青年发展型城市建设情况</w:t>
      </w:r>
      <w:bookmarkEnd w:id="1"/>
    </w:p>
    <w:p w14:paraId="462EE9F6">
      <w:pPr>
        <w:widowControl/>
        <w:ind w:firstLine="616"/>
        <w:outlineLvl w:val="1"/>
        <w:rPr>
          <w:rFonts w:hint="default" w:ascii="Times New Roman" w:hAnsi="Times New Roman" w:eastAsia="楷体_GB2312" w:cs="Times New Roman"/>
          <w:szCs w:val="32"/>
          <w:lang w:val="en-US" w:eastAsia="zh-CN"/>
        </w:rPr>
      </w:pPr>
      <w:bookmarkStart w:id="2" w:name="_Toc20285"/>
      <w:r>
        <w:rPr>
          <w:rFonts w:hint="default" w:ascii="Times New Roman" w:hAnsi="Times New Roman" w:eastAsia="楷体_GB2312" w:cs="Times New Roman"/>
          <w:szCs w:val="32"/>
        </w:rPr>
        <w:t>（一）青年发展型城市建设</w:t>
      </w:r>
      <w:r>
        <w:rPr>
          <w:rFonts w:hint="default" w:ascii="Times New Roman" w:hAnsi="Times New Roman" w:eastAsia="楷体_GB2312" w:cs="Times New Roman"/>
          <w:szCs w:val="32"/>
          <w:lang w:val="en-US" w:eastAsia="zh-CN"/>
        </w:rPr>
        <w:t>成效明显</w:t>
      </w:r>
      <w:bookmarkEnd w:id="2"/>
    </w:p>
    <w:p w14:paraId="10D26B0C">
      <w:pPr>
        <w:widowControl/>
        <w:ind w:firstLine="616"/>
        <w:rPr>
          <w:rFonts w:hint="default" w:ascii="Times New Roman" w:hAnsi="Times New Roman" w:cs="Times New Roman"/>
          <w:szCs w:val="32"/>
        </w:rPr>
      </w:pPr>
      <w:r>
        <w:rPr>
          <w:rFonts w:hint="default" w:ascii="Times New Roman" w:hAnsi="Times New Roman" w:cs="Times New Roman"/>
          <w:szCs w:val="32"/>
        </w:rPr>
        <w:t>“十四五”期间，在各地各部门、社会各方的共同协作下，太仓青年事业发展向好，在青年价值引领、人才培养、创新创业、活动场景、权益保护等核心领域亮点频闪，青年发展型城市建设取得了卓越成绩。</w:t>
      </w:r>
    </w:p>
    <w:p w14:paraId="73615551">
      <w:pPr>
        <w:widowControl/>
        <w:ind w:firstLine="618"/>
        <w:rPr>
          <w:rFonts w:hint="default" w:ascii="Times New Roman" w:hAnsi="Times New Roman" w:cs="Times New Roman"/>
          <w:szCs w:val="32"/>
        </w:rPr>
      </w:pPr>
      <w:r>
        <w:rPr>
          <w:rFonts w:hint="default" w:ascii="Times New Roman" w:hAnsi="Times New Roman" w:cs="Times New Roman"/>
          <w:b/>
          <w:bCs/>
          <w:szCs w:val="32"/>
        </w:rPr>
        <w:t>一是青年价值引领不断深化</w:t>
      </w:r>
      <w:r>
        <w:rPr>
          <w:rFonts w:hint="default" w:ascii="Times New Roman" w:hAnsi="Times New Roman" w:cs="Times New Roman"/>
          <w:szCs w:val="32"/>
        </w:rPr>
        <w:t>。“十四五”期间，全市深入学习贯彻习近平新时代中国特色社会主义思想及习近平总书记关于青年工作的重要思想，坚决落实党的意识形态工作责任制，青年工作的政治性、先进性、群众性持续强化。创新推出“境起娄城·筑梦苍穹”省级青年学习社线路，鼓励青年宣讲员常态化开展各类主题宣讲活动523场，形成了党的创新理论青年化阐释新路径。推出《青说二十大》《青春奔跑》等系列主题和文化精品内容，累计覆盖青年群体超10万人次，为太仓青年发展型城市建设注入了强大精神动力。</w:t>
      </w:r>
    </w:p>
    <w:p w14:paraId="7812F9D6">
      <w:pPr>
        <w:widowControl/>
        <w:ind w:firstLine="618"/>
        <w:rPr>
          <w:rFonts w:hint="default" w:ascii="Times New Roman" w:hAnsi="Times New Roman" w:cs="Times New Roman"/>
          <w:szCs w:val="32"/>
        </w:rPr>
      </w:pPr>
      <w:r>
        <w:rPr>
          <w:rFonts w:hint="default" w:ascii="Times New Roman" w:hAnsi="Times New Roman" w:cs="Times New Roman"/>
          <w:b/>
          <w:bCs/>
          <w:szCs w:val="32"/>
        </w:rPr>
        <w:t>二是青年人力资源开发成效显著</w:t>
      </w:r>
      <w:r>
        <w:rPr>
          <w:rFonts w:hint="default" w:ascii="Times New Roman" w:hAnsi="Times New Roman" w:cs="Times New Roman"/>
          <w:szCs w:val="32"/>
        </w:rPr>
        <w:t>。“十四五”期间，青年人才规模持续扩大，截至“十四五”末，青年人才总数达到19.23万人，青年人口比例达到20%左右，年平均吸纳就业青年人口数量约0.4万人，新增就业人口青年人口比例约24%，青年就业群体已经成为城市高质量发展的重要动力。青年人才引进渠道持续优化，立足对德合作优势，成立海外引才德国工作站，建成全国首个中德产教融合产业园；组织开展“源圆两岸交流汇”“一带一路”青少年英语演讲比赛等青年交流合作活动，成功吸引名校优生、海归人才、青年创客等各类青年群体走进太仓。积极探索青年人才政策创新，围绕高校毕业生、青年人才等重点群体，全面推出《太仓市关于加快集聚青年人才的十条措施》，全国首创“首次考察补贴”“首年生活补贴”等创新政策，累计惠及超1.8万人，吸引超过4500名外来大学生留太，获《人民日报》、新华社、央视、《中国青年报》《中国组织人事报》等央媒宣传报道。</w:t>
      </w:r>
    </w:p>
    <w:p w14:paraId="0B0778DD">
      <w:pPr>
        <w:widowControl/>
        <w:ind w:firstLine="618"/>
        <w:rPr>
          <w:rFonts w:hint="default" w:ascii="Times New Roman" w:hAnsi="Times New Roman" w:cs="Times New Roman"/>
          <w:szCs w:val="32"/>
        </w:rPr>
      </w:pPr>
      <w:r>
        <w:rPr>
          <w:rFonts w:hint="default" w:ascii="Times New Roman" w:hAnsi="Times New Roman" w:cs="Times New Roman"/>
          <w:b/>
          <w:bCs/>
          <w:szCs w:val="32"/>
        </w:rPr>
        <w:t>三是青年创新创业氛围浓厚</w:t>
      </w:r>
      <w:r>
        <w:rPr>
          <w:rFonts w:hint="default" w:ascii="Times New Roman" w:hAnsi="Times New Roman" w:cs="Times New Roman"/>
          <w:szCs w:val="32"/>
        </w:rPr>
        <w:t>。“十四五”期间，太仓将青年创新创业作为推动城市高质量发展的重要抓手，以青年为主体的中小型科技企业蓬勃发展，企业数量达18</w:t>
      </w:r>
      <w:r>
        <w:rPr>
          <w:rFonts w:hint="default" w:ascii="Times New Roman" w:hAnsi="Times New Roman" w:cs="Times New Roman"/>
          <w:szCs w:val="32"/>
          <w:lang w:val="en-US" w:eastAsia="zh-CN"/>
        </w:rPr>
        <w:t>08</w:t>
      </w:r>
      <w:r>
        <w:rPr>
          <w:rFonts w:hint="default" w:ascii="Times New Roman" w:hAnsi="Times New Roman" w:cs="Times New Roman"/>
          <w:szCs w:val="32"/>
        </w:rPr>
        <w:t>家，较“十三五”末增长近120%，青年创新活力成为驱动城市发展的关键动能。围绕全市“3+3+X”产业发展布局，持续开展“青创太仓”系列赛事，累计对接航空航天、生物医药、数字经济、农文旅等领域优质项目超1000个。聚焦青年来太发展需求，形成打造“校园苏州日”“高校太仓日”等招才引智品牌矩阵，布局太仓青年人才驿站19家，开设“青创课堂”20余期。依托上级资源和青年商会、青年联合会等组织力量，组织开展“青年一代企业家座谈会”“对话青商”等活动，持续厚植全域青年创新创业沃土，不断涵养崇尚创新、勇于探索的青年发展氛围。</w:t>
      </w:r>
    </w:p>
    <w:p w14:paraId="38B45BFA">
      <w:pPr>
        <w:widowControl/>
        <w:ind w:firstLine="618"/>
        <w:rPr>
          <w:rFonts w:hint="default" w:ascii="Times New Roman" w:hAnsi="Times New Roman" w:cs="Times New Roman"/>
          <w:szCs w:val="32"/>
        </w:rPr>
      </w:pPr>
      <w:r>
        <w:rPr>
          <w:rFonts w:hint="default" w:ascii="Times New Roman" w:hAnsi="Times New Roman" w:cs="Times New Roman"/>
          <w:b/>
          <w:bCs/>
          <w:szCs w:val="32"/>
        </w:rPr>
        <w:t>四是联系服务青年机制更趋完善</w:t>
      </w:r>
      <w:r>
        <w:rPr>
          <w:rFonts w:hint="default" w:ascii="Times New Roman" w:hAnsi="Times New Roman" w:cs="Times New Roman"/>
          <w:szCs w:val="32"/>
        </w:rPr>
        <w:t>。“十四五”期间，聚焦青年个性化需求与急难愁盼问题，通过常态化开展青年需求走访调研工作，累计摸排并推动解决就业、住房、托育、生活服务等领域青年关切问题400余个，切实回应青年发展诉求。打造“AI工小新”24小时智能化心理健康服务平台，构建“线上智能应答+线下精准干预”双轨模式，开展义诊、健康讲座等普惠性行动，形成覆盖青年疾病预防到青年心理关爱的全周期健康服务体系。深化网格化服务管理与青少年工作融合，通过打通团市委、公安、司法、民政等部门涉及青少年的信息数据库，实现了青少年关护服务“一张网”，“网格化+权益”青少年个案联动处置机制获评全省创新表彰。对特殊青少年群体重点加强关爱帮扶，有效缓解其成长压力，持续筑牢青年发展的权益保障防线。</w:t>
      </w:r>
    </w:p>
    <w:p w14:paraId="7A39474E">
      <w:pPr>
        <w:widowControl/>
        <w:ind w:firstLine="618"/>
        <w:rPr>
          <w:rFonts w:hint="default" w:ascii="Times New Roman" w:hAnsi="Times New Roman" w:cs="Times New Roman"/>
          <w:szCs w:val="32"/>
        </w:rPr>
      </w:pPr>
      <w:r>
        <w:rPr>
          <w:rFonts w:hint="default" w:ascii="Times New Roman" w:hAnsi="Times New Roman" w:cs="Times New Roman"/>
          <w:b/>
          <w:bCs/>
          <w:szCs w:val="32"/>
        </w:rPr>
        <w:t>五是青年社会参与稳步提高</w:t>
      </w:r>
      <w:r>
        <w:rPr>
          <w:rFonts w:hint="default" w:ascii="Times New Roman" w:hAnsi="Times New Roman" w:cs="Times New Roman"/>
          <w:szCs w:val="32"/>
        </w:rPr>
        <w:t>。“十四五”期间，以青年发展型城市建设为牵引，不断推动“青字号”品牌向多领域延伸，组织青年突击队、青年文明号等在防台抗汛、城市更新、乡村振兴等重大任务中挺膺担当、建功一线，累计培育全国、省、苏州市级各类荣誉集体37个。组织青年参与“河小青共建幸福河”“i在旅途”、重大赛事等特色志愿服务活动380余场，吸引2200余名青年长期参与，累计服务15万人次、志愿时长超8000小时，青年在基层治理、民生服务中的生力军作用充分彰显。推进“社区青年干事”省级试点项目，从全市机关、企事业单位、高校等领域遴选青年干事近30人，打造基层治理、爱心帮扶、生态环保等履职项目27个。组织开展“青年有新‘议’”“换位跑一次”等活动，动员青年在建言献策中参与社会基层治理。挖掘举荐17位优秀青年人选担任人大代表、政协委员，不断拓宽青年有序政治参与渠道。</w:t>
      </w:r>
    </w:p>
    <w:p w14:paraId="0271721A">
      <w:pPr>
        <w:widowControl/>
        <w:ind w:firstLine="618"/>
        <w:rPr>
          <w:rFonts w:hint="default" w:ascii="Times New Roman" w:hAnsi="Times New Roman" w:cs="Times New Roman"/>
          <w:szCs w:val="32"/>
        </w:rPr>
      </w:pPr>
      <w:r>
        <w:rPr>
          <w:rFonts w:hint="default" w:ascii="Times New Roman" w:hAnsi="Times New Roman" w:cs="Times New Roman"/>
          <w:b/>
          <w:bCs/>
          <w:szCs w:val="32"/>
        </w:rPr>
        <w:t>六是青年活动场景全面焕新</w:t>
      </w:r>
      <w:r>
        <w:rPr>
          <w:rFonts w:hint="default" w:ascii="Times New Roman" w:hAnsi="Times New Roman" w:cs="Times New Roman"/>
          <w:szCs w:val="32"/>
        </w:rPr>
        <w:t>。“十四五”期间，太仓以满足青年多元化精神文化需求为导向，统筹推进青年文化、文旅、体育场景升级，构建全域青年友好型活动空间。文化场景打造上，通过“非遗进校园”“娄城好声音”“太仓青年美术作品展”等品牌活动，结合吴晓邦舞蹈艺术中心、城市客厅非遗馆等市级文化地标，培育出一批“文化+社交”新兴青年消费场景，推动青年文化生活品质提升。文旅体验创新上，聚焦青年文旅消费偏好，推出旅游文化美食季、后浪系列音乐节等重磅人气产品，打造“大学生青春热力”等适合青年的主题旅游路线，形成了覆盖全域、多元立体的青年文旅产品矩阵。体育赛事供给上，持续举办世界田联竞走巡回赛暨全国竞走大奖赛、全国桥牌A类俱乐部联赛总决赛</w:t>
      </w:r>
      <w:r>
        <w:rPr>
          <w:rFonts w:hint="default" w:ascii="Times New Roman" w:hAnsi="Times New Roman" w:cs="Times New Roman"/>
          <w:szCs w:val="32"/>
          <w:lang w:val="en-US" w:eastAsia="zh-CN"/>
        </w:rPr>
        <w:t>、</w:t>
      </w:r>
      <w:r>
        <w:rPr>
          <w:rFonts w:hint="default" w:ascii="Times New Roman" w:hAnsi="Times New Roman" w:cs="Times New Roman"/>
          <w:szCs w:val="32"/>
        </w:rPr>
        <w:t>中华钓鲫精英赛等国际级、国家级大型赛事。自主打造独具品牌辨识度的太仓中德乒乓球国际邀请赛、太仓市中德足球邀请赛、中德半程马拉松等中德系列赛事，成为太仓对德合作体育交流面向世界的一张闪亮名片，为青年提供专业竞技、活力社交的优质平台，全面激活城市青年活动氛围。</w:t>
      </w:r>
    </w:p>
    <w:p w14:paraId="5532FF2C">
      <w:pPr>
        <w:widowControl/>
        <w:ind w:firstLine="616"/>
        <w:outlineLvl w:val="1"/>
        <w:rPr>
          <w:rFonts w:hint="default" w:ascii="Times New Roman" w:hAnsi="Times New Roman" w:eastAsia="楷体_GB2312" w:cs="Times New Roman"/>
          <w:szCs w:val="32"/>
        </w:rPr>
      </w:pPr>
      <w:bookmarkStart w:id="3" w:name="_Toc31290"/>
      <w:r>
        <w:rPr>
          <w:rFonts w:hint="default" w:ascii="Times New Roman" w:hAnsi="Times New Roman" w:eastAsia="楷体_GB2312" w:cs="Times New Roman"/>
          <w:szCs w:val="32"/>
        </w:rPr>
        <w:t>（二）</w:t>
      </w:r>
      <w:bookmarkStart w:id="4" w:name="_Hlk206749555"/>
      <w:r>
        <w:rPr>
          <w:rFonts w:hint="default" w:ascii="Times New Roman" w:hAnsi="Times New Roman" w:eastAsia="楷体_GB2312" w:cs="Times New Roman"/>
          <w:szCs w:val="32"/>
        </w:rPr>
        <w:t>青年发展型城市建设主要短板</w:t>
      </w:r>
      <w:bookmarkEnd w:id="3"/>
      <w:bookmarkEnd w:id="4"/>
    </w:p>
    <w:p w14:paraId="20742FE1">
      <w:pPr>
        <w:widowControl/>
        <w:ind w:firstLine="616"/>
        <w:rPr>
          <w:rFonts w:hint="default" w:ascii="Times New Roman" w:hAnsi="Times New Roman" w:cs="Times New Roman"/>
          <w:szCs w:val="32"/>
        </w:rPr>
      </w:pPr>
      <w:r>
        <w:rPr>
          <w:rFonts w:hint="default" w:ascii="Times New Roman" w:hAnsi="Times New Roman" w:cs="Times New Roman"/>
          <w:szCs w:val="32"/>
        </w:rPr>
        <w:t>“十四五”期间，太仓经济社会向好发展为青年发展型城市建设奠定了扎实基础，为青年工作的开展和</w:t>
      </w:r>
      <w:r>
        <w:rPr>
          <w:rFonts w:hint="default" w:ascii="Times New Roman" w:hAnsi="Times New Roman" w:cs="Times New Roman"/>
          <w:szCs w:val="32"/>
          <w:lang w:val="en-US" w:eastAsia="zh-CN"/>
        </w:rPr>
        <w:t>青年</w:t>
      </w:r>
      <w:r>
        <w:rPr>
          <w:rFonts w:hint="default" w:ascii="Times New Roman" w:hAnsi="Times New Roman" w:cs="Times New Roman"/>
          <w:szCs w:val="32"/>
        </w:rPr>
        <w:t>健康成长创造了良好环境。但</w:t>
      </w:r>
      <w:bookmarkStart w:id="5" w:name="_Hlk213242656"/>
      <w:r>
        <w:rPr>
          <w:rFonts w:hint="default" w:ascii="Times New Roman" w:hAnsi="Times New Roman" w:cs="Times New Roman"/>
          <w:szCs w:val="32"/>
        </w:rPr>
        <w:t>太仓青年发展型城市建设在取得一系列成就的同时，仍然存在着一些瓶颈和短板问题：</w:t>
      </w:r>
      <w:r>
        <w:rPr>
          <w:rFonts w:hint="default" w:ascii="Times New Roman" w:hAnsi="Times New Roman" w:cs="Times New Roman"/>
          <w:b/>
          <w:bCs/>
          <w:szCs w:val="32"/>
        </w:rPr>
        <w:t>一是产业青年吸附效能有待持续增强</w:t>
      </w:r>
      <w:r>
        <w:rPr>
          <w:rFonts w:hint="default" w:ascii="Times New Roman" w:hAnsi="Times New Roman" w:cs="Times New Roman"/>
          <w:szCs w:val="32"/>
        </w:rPr>
        <w:t>。太仓以资本技术密集型的先进制造业为特色，对青年劳动力的吸纳能力相对有限；服务业占比虽高，但尚未能充分转化为大规模的青年就业岗位，限制了青年人口的集聚和城市发展活力的释放。</w:t>
      </w:r>
      <w:r>
        <w:rPr>
          <w:rFonts w:hint="default" w:ascii="Times New Roman" w:hAnsi="Times New Roman" w:cs="Times New Roman"/>
          <w:b/>
          <w:bCs/>
          <w:szCs w:val="32"/>
        </w:rPr>
        <w:t>二是青年人才培育储备尚需扩容提质</w:t>
      </w:r>
      <w:r>
        <w:rPr>
          <w:rFonts w:hint="default" w:ascii="Times New Roman" w:hAnsi="Times New Roman" w:cs="Times New Roman"/>
          <w:szCs w:val="32"/>
        </w:rPr>
        <w:t>。长期以来，太仓高能级的高校院所积淀尚不充分</w:t>
      </w:r>
      <w:r>
        <w:rPr>
          <w:rFonts w:hint="default" w:ascii="Times New Roman" w:hAnsi="Times New Roman" w:cs="Times New Roman"/>
          <w:szCs w:val="32"/>
          <w:lang w:val="en-US" w:eastAsia="zh-CN"/>
        </w:rPr>
        <w:t>，</w:t>
      </w:r>
      <w:r>
        <w:rPr>
          <w:rFonts w:hint="default" w:ascii="Times New Roman" w:hAnsi="Times New Roman" w:cs="Times New Roman"/>
          <w:szCs w:val="32"/>
        </w:rPr>
        <w:t>高端青年人才、专业青年人才储备</w:t>
      </w:r>
      <w:r>
        <w:rPr>
          <w:rFonts w:hint="default" w:ascii="Times New Roman" w:hAnsi="Times New Roman" w:cs="Times New Roman"/>
          <w:szCs w:val="32"/>
          <w:lang w:val="en-US" w:eastAsia="zh-CN"/>
        </w:rPr>
        <w:t>体量仍有差距</w:t>
      </w:r>
      <w:r>
        <w:rPr>
          <w:rFonts w:hint="default" w:ascii="Times New Roman" w:hAnsi="Times New Roman" w:cs="Times New Roman"/>
          <w:szCs w:val="32"/>
        </w:rPr>
        <w:t>，特别是在科技创新领域</w:t>
      </w:r>
      <w:r>
        <w:rPr>
          <w:rFonts w:hint="default" w:ascii="Times New Roman" w:hAnsi="Times New Roman" w:cs="Times New Roman"/>
          <w:szCs w:val="32"/>
          <w:lang w:val="en-US" w:eastAsia="zh-CN"/>
        </w:rPr>
        <w:t>还</w:t>
      </w:r>
      <w:r>
        <w:rPr>
          <w:rFonts w:hint="default" w:ascii="Times New Roman" w:hAnsi="Times New Roman" w:cs="Times New Roman"/>
          <w:szCs w:val="32"/>
        </w:rPr>
        <w:t>存在缺口。现有高端职业培训中心、职业教育机构对复合型、紧缺型、创新型高技能人才的供给能力仍相对有限，与全市重点产业的人才现实需求还未能实现高度适配。</w:t>
      </w:r>
      <w:r>
        <w:rPr>
          <w:rFonts w:hint="default" w:ascii="Times New Roman" w:hAnsi="Times New Roman" w:cs="Times New Roman"/>
          <w:b/>
          <w:bCs/>
          <w:szCs w:val="32"/>
        </w:rPr>
        <w:t>三是青年场景服务配套有待</w:t>
      </w:r>
      <w:r>
        <w:rPr>
          <w:rFonts w:hint="default" w:ascii="Times New Roman" w:hAnsi="Times New Roman" w:cs="Times New Roman"/>
          <w:b/>
          <w:bCs/>
          <w:szCs w:val="32"/>
          <w:lang w:val="en-US" w:eastAsia="zh-CN"/>
        </w:rPr>
        <w:t>拓展升级</w:t>
      </w:r>
      <w:r>
        <w:rPr>
          <w:rFonts w:hint="default" w:ascii="Times New Roman" w:hAnsi="Times New Roman" w:cs="Times New Roman"/>
          <w:szCs w:val="32"/>
        </w:rPr>
        <w:t>。面向青年群体的消费场景</w:t>
      </w:r>
      <w:r>
        <w:rPr>
          <w:rFonts w:hint="default" w:ascii="Times New Roman" w:hAnsi="Times New Roman" w:cs="Times New Roman"/>
          <w:szCs w:val="32"/>
          <w:lang w:val="en-US" w:eastAsia="zh-CN"/>
        </w:rPr>
        <w:t>和</w:t>
      </w:r>
      <w:r>
        <w:rPr>
          <w:rFonts w:hint="default" w:ascii="Times New Roman" w:hAnsi="Times New Roman" w:cs="Times New Roman"/>
          <w:szCs w:val="32"/>
        </w:rPr>
        <w:t>服务场景建设难以</w:t>
      </w:r>
      <w:r>
        <w:rPr>
          <w:rFonts w:hint="default" w:ascii="Times New Roman" w:hAnsi="Times New Roman" w:cs="Times New Roman"/>
          <w:szCs w:val="32"/>
          <w:lang w:val="en-US" w:eastAsia="zh-CN"/>
        </w:rPr>
        <w:t>充分</w:t>
      </w:r>
      <w:r>
        <w:rPr>
          <w:rFonts w:hint="default" w:ascii="Times New Roman" w:hAnsi="Times New Roman" w:cs="Times New Roman"/>
          <w:szCs w:val="32"/>
        </w:rPr>
        <w:t>满足青年多元化、个性化的生活需求。青年友好的商业业态、文化娱乐设施、社交空间等配套服务体系仍需优化提升。</w:t>
      </w:r>
      <w:r>
        <w:rPr>
          <w:rFonts w:hint="default" w:ascii="Times New Roman" w:hAnsi="Times New Roman" w:cs="Times New Roman"/>
          <w:b/>
          <w:bCs/>
          <w:szCs w:val="32"/>
        </w:rPr>
        <w:t>四是</w:t>
      </w:r>
      <w:r>
        <w:rPr>
          <w:rFonts w:hint="default" w:ascii="Times New Roman" w:hAnsi="Times New Roman" w:cs="Times New Roman"/>
          <w:b/>
          <w:bCs/>
          <w:szCs w:val="32"/>
          <w:lang w:val="en-US" w:eastAsia="zh-CN"/>
        </w:rPr>
        <w:t>青春共治激励机制尚需健全完善</w:t>
      </w:r>
      <w:r>
        <w:rPr>
          <w:rFonts w:hint="default" w:ascii="Times New Roman" w:hAnsi="Times New Roman" w:cs="Times New Roman"/>
          <w:b w:val="0"/>
          <w:bCs w:val="0"/>
          <w:szCs w:val="32"/>
          <w:lang w:val="en-US" w:eastAsia="zh-CN"/>
        </w:rPr>
        <w:t>。太仓持续拓展青年参与城市治理实践载体，推动青年深度融入基层共建共治，但“人才码”等数字化服务载体推广运用还不够充分，对青年参与城市建设的正向引导还需要提升，部分青年城市“主人翁”意识尚未充分激发。</w:t>
      </w:r>
      <w:r>
        <w:rPr>
          <w:rFonts w:hint="default" w:ascii="Times New Roman" w:hAnsi="Times New Roman" w:cs="Times New Roman"/>
          <w:b/>
          <w:bCs/>
          <w:szCs w:val="32"/>
          <w:lang w:val="en-US" w:eastAsia="zh-CN"/>
        </w:rPr>
        <w:t>五是</w:t>
      </w:r>
      <w:r>
        <w:rPr>
          <w:rFonts w:hint="default" w:ascii="Times New Roman" w:hAnsi="Times New Roman" w:cs="Times New Roman"/>
          <w:b/>
          <w:bCs/>
          <w:szCs w:val="32"/>
        </w:rPr>
        <w:t>青春城市品牌传播</w:t>
      </w:r>
      <w:r>
        <w:rPr>
          <w:rFonts w:hint="default" w:ascii="Times New Roman" w:hAnsi="Times New Roman" w:cs="Times New Roman"/>
          <w:b/>
          <w:bCs/>
          <w:szCs w:val="32"/>
          <w:lang w:val="en-US" w:eastAsia="zh-CN"/>
        </w:rPr>
        <w:t>有待</w:t>
      </w:r>
      <w:r>
        <w:rPr>
          <w:rFonts w:hint="default" w:ascii="Times New Roman" w:hAnsi="Times New Roman" w:cs="Times New Roman"/>
          <w:b/>
          <w:bCs/>
          <w:szCs w:val="32"/>
        </w:rPr>
        <w:t>深化塑造</w:t>
      </w:r>
      <w:r>
        <w:rPr>
          <w:rFonts w:hint="default" w:ascii="Times New Roman" w:hAnsi="Times New Roman" w:cs="Times New Roman"/>
          <w:szCs w:val="32"/>
        </w:rPr>
        <w:t>。太仓在青年发展型城市形象塑造方面仍需不断强化，尚未形成具有青年感和时代特色的城市标识系统和品牌符号。城市营销推广缺乏系统性策划，难以有效触达和吸引目标青年群体。</w:t>
      </w:r>
      <w:r>
        <w:rPr>
          <w:rFonts w:hint="default" w:ascii="Times New Roman" w:hAnsi="Times New Roman" w:cs="Times New Roman"/>
          <w:b/>
          <w:bCs/>
          <w:szCs w:val="32"/>
        </w:rPr>
        <w:t>六是人才</w:t>
      </w:r>
      <w:r>
        <w:rPr>
          <w:rFonts w:hint="default" w:ascii="Times New Roman" w:hAnsi="Times New Roman" w:cs="Times New Roman"/>
          <w:b/>
          <w:bCs/>
          <w:szCs w:val="32"/>
          <w:lang w:val="en-US" w:eastAsia="zh-CN"/>
        </w:rPr>
        <w:t>资源载体能级</w:t>
      </w:r>
      <w:r>
        <w:rPr>
          <w:rFonts w:hint="default" w:ascii="Times New Roman" w:hAnsi="Times New Roman" w:cs="Times New Roman"/>
          <w:b/>
          <w:bCs/>
          <w:szCs w:val="32"/>
        </w:rPr>
        <w:t>尚需</w:t>
      </w:r>
      <w:r>
        <w:rPr>
          <w:rFonts w:hint="default" w:ascii="Times New Roman" w:hAnsi="Times New Roman" w:cs="Times New Roman"/>
          <w:b/>
          <w:bCs/>
          <w:szCs w:val="32"/>
          <w:lang w:val="en-US" w:eastAsia="zh-CN"/>
        </w:rPr>
        <w:t>巩固提升</w:t>
      </w:r>
      <w:r>
        <w:rPr>
          <w:rFonts w:hint="default" w:ascii="Times New Roman" w:hAnsi="Times New Roman" w:cs="Times New Roman"/>
          <w:szCs w:val="32"/>
        </w:rPr>
        <w:t>。对标长三角先进地区，太仓在高层次人才载体建设上仍存在差距，缺乏具有广泛影响力的高端人才创业园、青年人才孵化基地、产学研融合平台等载体，难以完全满足高端青年人才创新创业、成长成才的需求。</w:t>
      </w:r>
    </w:p>
    <w:bookmarkEnd w:id="5"/>
    <w:p w14:paraId="245D7CA4">
      <w:pPr>
        <w:pStyle w:val="2"/>
        <w:spacing w:line="580" w:lineRule="exact"/>
        <w:ind w:firstLine="616"/>
        <w:rPr>
          <w:rFonts w:hint="default" w:ascii="Times New Roman" w:hAnsi="Times New Roman" w:cs="Times New Roman"/>
        </w:rPr>
      </w:pPr>
      <w:bookmarkStart w:id="6" w:name="_Toc9731"/>
      <w:r>
        <w:rPr>
          <w:rFonts w:hint="default" w:ascii="Times New Roman" w:hAnsi="Times New Roman" w:cs="Times New Roman"/>
        </w:rPr>
        <w:t>二、“十五五”时期工作的指导思想和总体目标</w:t>
      </w:r>
      <w:bookmarkEnd w:id="6"/>
    </w:p>
    <w:p w14:paraId="3183785F">
      <w:pPr>
        <w:widowControl/>
        <w:ind w:firstLine="616"/>
        <w:outlineLvl w:val="1"/>
        <w:rPr>
          <w:rFonts w:hint="default" w:ascii="Times New Roman" w:hAnsi="Times New Roman" w:eastAsia="楷体_GB2312" w:cs="Times New Roman"/>
          <w:szCs w:val="32"/>
        </w:rPr>
      </w:pPr>
      <w:bookmarkStart w:id="7" w:name="_Toc20634"/>
      <w:r>
        <w:rPr>
          <w:rFonts w:hint="default" w:ascii="Times New Roman" w:hAnsi="Times New Roman" w:eastAsia="楷体_GB2312" w:cs="Times New Roman"/>
          <w:szCs w:val="32"/>
        </w:rPr>
        <w:t>（一）指导思想</w:t>
      </w:r>
      <w:bookmarkEnd w:id="7"/>
    </w:p>
    <w:p w14:paraId="1BAD915B">
      <w:pPr>
        <w:overflowPunct w:val="0"/>
        <w:ind w:firstLine="616"/>
        <w:rPr>
          <w:rFonts w:hint="default" w:ascii="Times New Roman" w:hAnsi="Times New Roman" w:cs="Times New Roman"/>
          <w:szCs w:val="32"/>
        </w:rPr>
      </w:pPr>
      <w:r>
        <w:rPr>
          <w:rFonts w:hint="default" w:ascii="Times New Roman" w:hAnsi="Times New Roman" w:cs="Times New Roman"/>
          <w:szCs w:val="32"/>
        </w:rPr>
        <w:t>深入学习贯彻习近平总书记关于青年工作的重要思想、关于城市工作的重要论述，全面落实党的二十大和二十届历次全会精神及省委、苏州市委工作要求，深入实施《关于深化青年发展型城市建设 助力建设现代化人民城市的意见》</w:t>
      </w: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紧紧围绕市第十五次党代会提出的目标任务，</w:t>
      </w:r>
      <w:r>
        <w:rPr>
          <w:rFonts w:hint="default" w:ascii="Times New Roman" w:hAnsi="Times New Roman" w:cs="Times New Roman"/>
          <w:szCs w:val="32"/>
        </w:rPr>
        <w:t>锚定“现代田园城、幸福金太仓”</w:t>
      </w:r>
      <w:r>
        <w:rPr>
          <w:rFonts w:hint="default" w:ascii="Times New Roman" w:hAnsi="Times New Roman" w:cs="Times New Roman"/>
          <w:szCs w:val="32"/>
          <w:lang w:val="en-US" w:eastAsia="zh-CN"/>
        </w:rPr>
        <w:t>城市定位</w:t>
      </w:r>
      <w:r>
        <w:rPr>
          <w:rFonts w:hint="default" w:ascii="Times New Roman" w:hAnsi="Times New Roman" w:cs="Times New Roman"/>
          <w:szCs w:val="32"/>
        </w:rPr>
        <w:t>，坚持“青年优先、城市赋能、双向成就”理念，全面提升城市功能品质与青年发展的契合度，着力健全适配青年发展的高质量人力资源体系，全面构建“就业有支撑、创业有舞台、生活有品质、发展有空间”的青年发展生态，不断提升太仓对青年的吸引力、凝聚力、承载力，激励青年担当作为，促进青年健康成长，让太仓对青年更友好、青年在太仓更有为，引领广大青年为率先打造中国式现代化县域实践的“太仓样本”贡献青春智慧和力量。</w:t>
      </w:r>
    </w:p>
    <w:p w14:paraId="6CAE166A">
      <w:pPr>
        <w:widowControl/>
        <w:ind w:firstLine="616"/>
        <w:outlineLvl w:val="1"/>
        <w:rPr>
          <w:rFonts w:hint="default" w:ascii="Times New Roman" w:hAnsi="Times New Roman" w:eastAsia="楷体_GB2312" w:cs="Times New Roman"/>
          <w:szCs w:val="32"/>
        </w:rPr>
      </w:pPr>
      <w:bookmarkStart w:id="8" w:name="_Toc27248"/>
      <w:r>
        <w:rPr>
          <w:rFonts w:hint="default" w:ascii="Times New Roman" w:hAnsi="Times New Roman" w:eastAsia="楷体_GB2312" w:cs="Times New Roman"/>
          <w:szCs w:val="32"/>
        </w:rPr>
        <w:t>（二）基本原则</w:t>
      </w:r>
      <w:bookmarkEnd w:id="8"/>
    </w:p>
    <w:p w14:paraId="6D9ECFD9">
      <w:pPr>
        <w:widowControl/>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坚持党管青年</w:t>
      </w:r>
      <w:r>
        <w:rPr>
          <w:rFonts w:hint="default" w:ascii="Times New Roman" w:hAnsi="Times New Roman" w:cs="Times New Roman"/>
          <w:szCs w:val="32"/>
        </w:rPr>
        <w:t>。全面贯彻落实党中央关于青年工作的决策部署，坚持以习近平新时代中国特色社会主义思想武装青年，以习近平总书记关于青年工作的重要思想为根本遵循，教育引导广大青年做习近平新时代中国特色社会主义思想的传播者、践行者，坚定不移听党话、跟党走。坚持党对青年工作的统一领导，在中国式现代化太仓新实践中谋划和推进青年发展事业。</w:t>
      </w:r>
    </w:p>
    <w:p w14:paraId="0098B50B">
      <w:pPr>
        <w:widowControl/>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坚持青年为本</w:t>
      </w:r>
      <w:r>
        <w:rPr>
          <w:rFonts w:hint="default" w:ascii="Times New Roman" w:hAnsi="Times New Roman" w:cs="Times New Roman"/>
          <w:szCs w:val="32"/>
        </w:rPr>
        <w:t>。强化青年优先发展理念，尊重青年主体地位，遵循青年成长规律和发展特点，把服务青年与促进青年健康成长紧密结合。以青年需求为导向，以青年满意为标准，让青年有更多获得感、幸福感、安全感，激发青年的内生动力和奋斗热情。</w:t>
      </w:r>
    </w:p>
    <w:p w14:paraId="7D660830">
      <w:pPr>
        <w:widowControl/>
        <w:ind w:firstLine="616"/>
        <w:rPr>
          <w:rFonts w:hint="default" w:ascii="Times New Roman" w:hAnsi="Times New Roman" w:cs="Times New Roman"/>
          <w:szCs w:val="32"/>
        </w:rPr>
      </w:pPr>
      <w:r>
        <w:rPr>
          <w:rFonts w:hint="default" w:ascii="Times New Roman" w:hAnsi="Times New Roman" w:cs="Times New Roman"/>
          <w:szCs w:val="32"/>
        </w:rPr>
        <w:t xml:space="preserve">3. </w:t>
      </w:r>
      <w:r>
        <w:rPr>
          <w:rFonts w:hint="default" w:ascii="Times New Roman" w:hAnsi="Times New Roman" w:cs="Times New Roman"/>
          <w:b/>
          <w:bCs/>
          <w:szCs w:val="32"/>
        </w:rPr>
        <w:t>坚持融合发展</w:t>
      </w:r>
      <w:r>
        <w:rPr>
          <w:rFonts w:hint="default" w:ascii="Times New Roman" w:hAnsi="Times New Roman" w:cs="Times New Roman"/>
          <w:szCs w:val="32"/>
        </w:rPr>
        <w:t>。坚持青年发展与城市发展相互促进、深度融合，充分激发青年在太仓经济社会高质量发展中的积极性、主动性、创造性。发挥青年生力军作用，以青春理想和青春奋斗推动太仓发展。优化青年发展环境，为青年成长成才创造更优条件，实现青年与太仓共成长、同发展。</w:t>
      </w:r>
    </w:p>
    <w:p w14:paraId="4E55052F">
      <w:pPr>
        <w:widowControl/>
        <w:ind w:firstLine="616"/>
        <w:rPr>
          <w:rFonts w:hint="default" w:ascii="Times New Roman" w:hAnsi="Times New Roman" w:cs="Times New Roman"/>
          <w:szCs w:val="32"/>
        </w:rPr>
      </w:pPr>
      <w:r>
        <w:rPr>
          <w:rFonts w:hint="default" w:ascii="Times New Roman" w:hAnsi="Times New Roman" w:cs="Times New Roman"/>
          <w:szCs w:val="32"/>
        </w:rPr>
        <w:t xml:space="preserve">4. </w:t>
      </w:r>
      <w:r>
        <w:rPr>
          <w:rFonts w:hint="default" w:ascii="Times New Roman" w:hAnsi="Times New Roman" w:cs="Times New Roman"/>
          <w:b/>
          <w:bCs/>
          <w:szCs w:val="32"/>
        </w:rPr>
        <w:t>坚持开放包容</w:t>
      </w:r>
      <w:r>
        <w:rPr>
          <w:rFonts w:hint="default" w:ascii="Times New Roman" w:hAnsi="Times New Roman" w:cs="Times New Roman"/>
          <w:szCs w:val="32"/>
        </w:rPr>
        <w:t>。立足太仓融入上海、以港强市</w:t>
      </w:r>
      <w:r>
        <w:rPr>
          <w:rFonts w:hint="default" w:ascii="Times New Roman" w:hAnsi="Times New Roman" w:cs="Times New Roman"/>
          <w:szCs w:val="32"/>
          <w:lang w:val="en-US" w:eastAsia="zh-CN"/>
        </w:rPr>
        <w:t>、</w:t>
      </w:r>
      <w:r>
        <w:rPr>
          <w:rFonts w:hint="eastAsia" w:cs="Times New Roman"/>
          <w:szCs w:val="32"/>
          <w:lang w:val="en-US" w:eastAsia="zh-CN"/>
        </w:rPr>
        <w:t>中</w:t>
      </w:r>
      <w:r>
        <w:rPr>
          <w:rFonts w:hint="default" w:ascii="Times New Roman" w:hAnsi="Times New Roman" w:cs="Times New Roman"/>
          <w:szCs w:val="32"/>
        </w:rPr>
        <w:t>德合作的开放底色，统筹用好国内国际两种资源，加强青年对外交流合作，拓宽青年国际视野。坚持本土青年培养与外来青年引进并重，营造开放包容的青年发展环境，汇聚各方青年人才共同推动太仓高质量发展。</w:t>
      </w:r>
    </w:p>
    <w:p w14:paraId="2EB4C919">
      <w:pPr>
        <w:widowControl/>
        <w:ind w:firstLine="616"/>
        <w:rPr>
          <w:rFonts w:hint="default" w:ascii="Times New Roman" w:hAnsi="Times New Roman" w:cs="Times New Roman"/>
          <w:szCs w:val="32"/>
        </w:rPr>
      </w:pPr>
      <w:r>
        <w:rPr>
          <w:rFonts w:hint="default" w:ascii="Times New Roman" w:hAnsi="Times New Roman" w:cs="Times New Roman"/>
          <w:szCs w:val="32"/>
        </w:rPr>
        <w:t xml:space="preserve">5. </w:t>
      </w:r>
      <w:r>
        <w:rPr>
          <w:rFonts w:hint="default" w:ascii="Times New Roman" w:hAnsi="Times New Roman" w:cs="Times New Roman"/>
          <w:b/>
          <w:bCs/>
          <w:szCs w:val="32"/>
        </w:rPr>
        <w:t>坚持统筹协调</w:t>
      </w:r>
      <w:r>
        <w:rPr>
          <w:rFonts w:hint="default" w:ascii="Times New Roman" w:hAnsi="Times New Roman" w:cs="Times New Roman"/>
          <w:szCs w:val="32"/>
        </w:rPr>
        <w:t>。从战略高度推进青年发展事业，将青年发展规划纳入太仓经济社会发展总体布局，健全党委领导、政府</w:t>
      </w:r>
      <w:r>
        <w:rPr>
          <w:rFonts w:hint="default" w:ascii="Times New Roman" w:hAnsi="Times New Roman" w:cs="Times New Roman"/>
          <w:szCs w:val="32"/>
          <w:lang w:val="en-US" w:eastAsia="zh-CN"/>
        </w:rPr>
        <w:t>负责</w:t>
      </w:r>
      <w:r>
        <w:rPr>
          <w:rFonts w:hint="default" w:ascii="Times New Roman" w:hAnsi="Times New Roman" w:cs="Times New Roman"/>
          <w:szCs w:val="32"/>
        </w:rPr>
        <w:t>、共青团协调、各部门齐抓共管、全社会广泛参与的青年工作格局。统筹推进青年思想引领、成长成才、建功立业、权益维护等各项工作，形成推动青年发展的强大合力。</w:t>
      </w:r>
    </w:p>
    <w:p w14:paraId="68938292">
      <w:pPr>
        <w:widowControl/>
        <w:ind w:firstLine="616"/>
        <w:outlineLvl w:val="1"/>
        <w:rPr>
          <w:rFonts w:hint="default" w:ascii="Times New Roman" w:hAnsi="Times New Roman" w:eastAsia="楷体_GB2312" w:cs="Times New Roman"/>
          <w:szCs w:val="32"/>
        </w:rPr>
      </w:pPr>
      <w:bookmarkStart w:id="9" w:name="_Toc9680"/>
      <w:r>
        <w:rPr>
          <w:rFonts w:hint="default" w:ascii="Times New Roman" w:hAnsi="Times New Roman" w:eastAsia="楷体_GB2312" w:cs="Times New Roman"/>
          <w:szCs w:val="32"/>
        </w:rPr>
        <w:t>（三）总体目标</w:t>
      </w:r>
      <w:bookmarkEnd w:id="9"/>
    </w:p>
    <w:p w14:paraId="7E05079B">
      <w:pPr>
        <w:widowControl/>
        <w:ind w:firstLine="616"/>
        <w:rPr>
          <w:rFonts w:hint="default" w:ascii="Times New Roman" w:hAnsi="Times New Roman" w:cs="Times New Roman"/>
          <w:szCs w:val="32"/>
        </w:rPr>
      </w:pPr>
      <w:r>
        <w:rPr>
          <w:rFonts w:hint="default" w:ascii="Times New Roman" w:hAnsi="Times New Roman" w:cs="Times New Roman"/>
          <w:szCs w:val="32"/>
        </w:rPr>
        <w:t>到2030年，全面构建与青年发展型城市深度协同、与“3+3+X”产业高度适配的高质量人力资源体系，把太仓打造成为长三角地区最具吸引力的青年发展型县域城市之一，青年优先发展理念全面融入城市发展战略，青年投身城市发展的主动性和贡献度显著提升，“太懂青年”成为城市闪亮名片，形成“太仓因青年更精彩、青年因太仓更出彩”发展格局。</w:t>
      </w:r>
    </w:p>
    <w:p w14:paraId="2201CD15">
      <w:pPr>
        <w:widowControl/>
        <w:ind w:firstLine="616"/>
        <w:rPr>
          <w:rFonts w:hint="default" w:ascii="Times New Roman" w:hAnsi="Times New Roman" w:cs="Times New Roman"/>
          <w:szCs w:val="32"/>
        </w:rPr>
      </w:pPr>
      <w:r>
        <w:rPr>
          <w:rFonts w:hint="default" w:ascii="Times New Roman" w:hAnsi="Times New Roman" w:cs="Times New Roman"/>
          <w:szCs w:val="32"/>
        </w:rPr>
        <w:t>——</w:t>
      </w:r>
      <w:r>
        <w:rPr>
          <w:rFonts w:hint="default" w:ascii="Times New Roman" w:hAnsi="Times New Roman" w:cs="Times New Roman"/>
          <w:b/>
          <w:bCs/>
          <w:szCs w:val="32"/>
        </w:rPr>
        <w:t>打造锦绣田园青年向往之城</w:t>
      </w:r>
      <w:r>
        <w:rPr>
          <w:rFonts w:hint="default" w:ascii="Times New Roman" w:hAnsi="Times New Roman" w:cs="Times New Roman"/>
          <w:szCs w:val="32"/>
        </w:rPr>
        <w:t>。锚定“现代田园城、幸福金太仓”的</w:t>
      </w:r>
      <w:r>
        <w:rPr>
          <w:rFonts w:hint="default" w:ascii="Times New Roman" w:hAnsi="Times New Roman" w:cs="Times New Roman"/>
          <w:szCs w:val="32"/>
          <w:lang w:val="en-US" w:eastAsia="zh-CN"/>
        </w:rPr>
        <w:t>城市</w:t>
      </w:r>
      <w:r>
        <w:rPr>
          <w:rFonts w:hint="default" w:ascii="Times New Roman" w:hAnsi="Times New Roman" w:cs="Times New Roman"/>
          <w:szCs w:val="32"/>
        </w:rPr>
        <w:t>定位，将现代化城市功能与江南水乡韵味深度融合，持续涵养文化之魂，以最优生态环境、最美城市风貌、最</w:t>
      </w:r>
      <w:bookmarkStart w:id="45" w:name="_GoBack"/>
      <w:bookmarkEnd w:id="45"/>
      <w:r>
        <w:rPr>
          <w:rFonts w:hint="default" w:ascii="Times New Roman" w:hAnsi="Times New Roman" w:cs="Times New Roman"/>
          <w:szCs w:val="32"/>
        </w:rPr>
        <w:t>暖人文关怀吸引青年、留住青年、成就青年。青年人口占比在苏州保持稳定，青年对城市的认同感、归属感、幸福感显著提升，太仓成为青年安居乐业、追梦圆梦的理想之地。</w:t>
      </w:r>
    </w:p>
    <w:p w14:paraId="3A255733">
      <w:pPr>
        <w:widowControl/>
        <w:ind w:firstLine="616"/>
        <w:rPr>
          <w:rFonts w:hint="default" w:ascii="Times New Roman" w:hAnsi="Times New Roman" w:cs="Times New Roman"/>
          <w:szCs w:val="32"/>
        </w:rPr>
      </w:pPr>
      <w:r>
        <w:rPr>
          <w:rFonts w:hint="default" w:ascii="Times New Roman" w:hAnsi="Times New Roman" w:cs="Times New Roman"/>
          <w:szCs w:val="32"/>
        </w:rPr>
        <w:t>——</w:t>
      </w:r>
      <w:r>
        <w:rPr>
          <w:rFonts w:hint="default" w:ascii="Times New Roman" w:hAnsi="Times New Roman" w:cs="Times New Roman"/>
          <w:b/>
          <w:bCs/>
          <w:szCs w:val="32"/>
        </w:rPr>
        <w:t>打造智造创新青年乐业之城</w:t>
      </w:r>
      <w:r>
        <w:rPr>
          <w:rFonts w:hint="default" w:ascii="Times New Roman" w:hAnsi="Times New Roman" w:cs="Times New Roman"/>
          <w:szCs w:val="32"/>
        </w:rPr>
        <w:t>。与青年发展相适应的现代化产业体系全面构建，对德合作产业优势进一步发挥。“3+3+X”产业集群成为青年就业创业的主阵地，打造具有太仓辨识度的青年人才培养体系，服务青年的创新、创业、就业体系加快完善，青年创新创业活跃度县域领先，形成青年勇立潮头、百舸争流的发展格局。</w:t>
      </w:r>
    </w:p>
    <w:p w14:paraId="1E9913A4">
      <w:pPr>
        <w:widowControl/>
        <w:ind w:firstLine="616"/>
        <w:rPr>
          <w:rFonts w:hint="default" w:ascii="Times New Roman" w:hAnsi="Times New Roman" w:cs="Times New Roman"/>
          <w:szCs w:val="32"/>
        </w:rPr>
      </w:pPr>
      <w:r>
        <w:rPr>
          <w:rFonts w:hint="default" w:ascii="Times New Roman" w:hAnsi="Times New Roman" w:cs="Times New Roman"/>
          <w:szCs w:val="32"/>
        </w:rPr>
        <w:t>——</w:t>
      </w:r>
      <w:r>
        <w:rPr>
          <w:rFonts w:hint="default" w:ascii="Times New Roman" w:hAnsi="Times New Roman" w:cs="Times New Roman"/>
          <w:b/>
          <w:bCs/>
          <w:szCs w:val="32"/>
        </w:rPr>
        <w:t>打造育青护苗青年成长之城</w:t>
      </w:r>
      <w:r>
        <w:rPr>
          <w:rFonts w:hint="default" w:ascii="Times New Roman" w:hAnsi="Times New Roman" w:cs="Times New Roman"/>
          <w:szCs w:val="32"/>
        </w:rPr>
        <w:t>。践行青年优先发展理念，紧扣青年成长全周期需求，持续优化适青教育生态、身心关爱体系与法治保障环境。畅通青年成才通道，守护青年身心健康、合法权益，构建家校社协同、多层次全覆盖的青年发展支持格局。青年受教育机会更加均等，身心健康服务体系持续完善，青年权益保障机制更加健全，形成“人人皆可成才、人人尽展其才”的良好生态。</w:t>
      </w:r>
    </w:p>
    <w:p w14:paraId="38002830">
      <w:pPr>
        <w:widowControl/>
        <w:ind w:firstLine="616"/>
        <w:rPr>
          <w:rFonts w:hint="default" w:ascii="Times New Roman" w:hAnsi="Times New Roman" w:cs="Times New Roman"/>
          <w:szCs w:val="32"/>
        </w:rPr>
      </w:pPr>
      <w:r>
        <w:rPr>
          <w:rFonts w:hint="default" w:ascii="Times New Roman" w:hAnsi="Times New Roman" w:cs="Times New Roman"/>
          <w:szCs w:val="32"/>
        </w:rPr>
        <w:t>——</w:t>
      </w:r>
      <w:r>
        <w:rPr>
          <w:rFonts w:hint="default" w:ascii="Times New Roman" w:hAnsi="Times New Roman" w:cs="Times New Roman"/>
          <w:b/>
          <w:bCs/>
          <w:szCs w:val="32"/>
        </w:rPr>
        <w:t>打造品质生活青年乐享之城</w:t>
      </w:r>
      <w:r>
        <w:rPr>
          <w:rFonts w:hint="default" w:ascii="Times New Roman" w:hAnsi="Times New Roman" w:cs="Times New Roman"/>
          <w:szCs w:val="32"/>
        </w:rPr>
        <w:t>。全方位、全周期的青年服务保障体系进一步完善，青年住房保障政策持续优化，青年主题街区、青年社区、青年驿站等服务载体布局合理，青年婚恋交友、子女托育教育、父母医疗养老等全生命周期服务精准有效，青年获得感、幸福感、安全感持续提升。</w:t>
      </w:r>
    </w:p>
    <w:p w14:paraId="71933BEA">
      <w:pPr>
        <w:widowControl/>
        <w:ind w:firstLine="616"/>
        <w:rPr>
          <w:rFonts w:hint="default" w:ascii="Times New Roman" w:hAnsi="Times New Roman" w:cs="Times New Roman"/>
          <w:szCs w:val="32"/>
        </w:rPr>
      </w:pPr>
      <w:r>
        <w:rPr>
          <w:rFonts w:hint="default" w:ascii="Times New Roman" w:hAnsi="Times New Roman" w:cs="Times New Roman"/>
          <w:szCs w:val="32"/>
        </w:rPr>
        <w:t>——</w:t>
      </w:r>
      <w:r>
        <w:rPr>
          <w:rFonts w:hint="default" w:ascii="Times New Roman" w:hAnsi="Times New Roman" w:cs="Times New Roman"/>
          <w:b/>
          <w:bCs/>
          <w:szCs w:val="32"/>
        </w:rPr>
        <w:t>打造向上向善青年文明之城</w:t>
      </w:r>
      <w:r>
        <w:rPr>
          <w:rFonts w:hint="default" w:ascii="Times New Roman" w:hAnsi="Times New Roman" w:cs="Times New Roman"/>
          <w:szCs w:val="32"/>
        </w:rPr>
        <w:t>。深入推进青年思想政治引领，社会主义核心价值观在青年群体中深入人心，青年理想信念更加坚定，思想道德水平和文明素质显著提升。青年参与基层治理、乡村振兴、生态文明建设的体制机制更加完善，“青年突击队”“青年志愿者”等品牌影响力持续扩大，青年在推动城市治理体系和治理能力现代化中发挥生力军作用。</w:t>
      </w:r>
    </w:p>
    <w:p w14:paraId="386E68D5">
      <w:pPr>
        <w:widowControl/>
        <w:spacing w:after="156" w:afterLines="50"/>
        <w:ind w:firstLine="616"/>
        <w:jc w:val="center"/>
        <w:rPr>
          <w:rFonts w:hint="default" w:ascii="Times New Roman" w:hAnsi="Times New Roman" w:eastAsia="黑体" w:cs="Times New Roman"/>
        </w:rPr>
      </w:pPr>
    </w:p>
    <w:p w14:paraId="7FDB603F">
      <w:pPr>
        <w:widowControl/>
        <w:spacing w:after="156" w:afterLines="50"/>
        <w:ind w:firstLine="616"/>
        <w:jc w:val="center"/>
        <w:rPr>
          <w:rFonts w:hint="default" w:ascii="Times New Roman" w:hAnsi="Times New Roman" w:eastAsia="黑体" w:cs="Times New Roman"/>
        </w:rPr>
      </w:pPr>
    </w:p>
    <w:p w14:paraId="7EB891B6">
      <w:pPr>
        <w:widowControl/>
        <w:spacing w:after="156" w:afterLines="50"/>
        <w:ind w:firstLine="0" w:firstLineChars="0"/>
        <w:jc w:val="center"/>
        <w:rPr>
          <w:rFonts w:hint="default" w:ascii="Times New Roman" w:hAnsi="Times New Roman" w:eastAsia="黑体" w:cs="Times New Roman"/>
        </w:rPr>
      </w:pPr>
      <w:r>
        <w:rPr>
          <w:rFonts w:hint="default" w:ascii="Times New Roman" w:hAnsi="Times New Roman" w:eastAsia="黑体" w:cs="Times New Roman"/>
        </w:rPr>
        <w:t>太仓“十五五”青年发展型城市指标体系</w:t>
      </w:r>
    </w:p>
    <w:tbl>
      <w:tblPr>
        <w:tblStyle w:val="9"/>
        <w:tblW w:w="4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4335"/>
        <w:gridCol w:w="1280"/>
        <w:gridCol w:w="1035"/>
      </w:tblGrid>
      <w:tr w14:paraId="688C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1" w:type="pct"/>
            <w:noWrap/>
            <w:vAlign w:val="center"/>
          </w:tcPr>
          <w:p w14:paraId="09BAE742">
            <w:pPr>
              <w:widowControl/>
              <w:spacing w:line="240" w:lineRule="auto"/>
              <w:ind w:firstLine="0" w:firstLineChars="0"/>
              <w:jc w:val="center"/>
              <w:rPr>
                <w:rFonts w:hint="default" w:ascii="Times New Roman" w:hAnsi="Times New Roman" w:eastAsia="黑体" w:cs="Times New Roman"/>
                <w:color w:val="000000"/>
                <w:spacing w:val="0"/>
                <w:kern w:val="0"/>
                <w:sz w:val="24"/>
                <w:szCs w:val="24"/>
              </w:rPr>
            </w:pPr>
            <w:r>
              <w:rPr>
                <w:rFonts w:hint="default" w:ascii="Times New Roman" w:hAnsi="Times New Roman" w:eastAsia="黑体" w:cs="Times New Roman"/>
                <w:color w:val="000000"/>
                <w:spacing w:val="0"/>
                <w:kern w:val="0"/>
                <w:sz w:val="24"/>
                <w:szCs w:val="24"/>
              </w:rPr>
              <w:t>序号</w:t>
            </w:r>
          </w:p>
        </w:tc>
        <w:tc>
          <w:tcPr>
            <w:tcW w:w="2945" w:type="pct"/>
            <w:noWrap/>
            <w:vAlign w:val="center"/>
          </w:tcPr>
          <w:p w14:paraId="6246976E">
            <w:pPr>
              <w:widowControl/>
              <w:spacing w:line="240" w:lineRule="auto"/>
              <w:ind w:firstLine="0" w:firstLineChars="0"/>
              <w:jc w:val="center"/>
              <w:rPr>
                <w:rFonts w:hint="default" w:ascii="Times New Roman" w:hAnsi="Times New Roman" w:eastAsia="黑体" w:cs="Times New Roman"/>
                <w:color w:val="000000"/>
                <w:spacing w:val="0"/>
                <w:kern w:val="0"/>
                <w:sz w:val="24"/>
                <w:szCs w:val="24"/>
              </w:rPr>
            </w:pPr>
            <w:r>
              <w:rPr>
                <w:rFonts w:hint="default" w:ascii="Times New Roman" w:hAnsi="Times New Roman" w:eastAsia="黑体" w:cs="Times New Roman"/>
                <w:color w:val="000000"/>
                <w:spacing w:val="0"/>
                <w:kern w:val="0"/>
                <w:sz w:val="24"/>
                <w:szCs w:val="24"/>
              </w:rPr>
              <w:t>具体指标</w:t>
            </w:r>
          </w:p>
        </w:tc>
        <w:tc>
          <w:tcPr>
            <w:tcW w:w="869" w:type="pct"/>
            <w:noWrap/>
            <w:vAlign w:val="center"/>
          </w:tcPr>
          <w:p w14:paraId="492C499A">
            <w:pPr>
              <w:widowControl/>
              <w:spacing w:line="240" w:lineRule="auto"/>
              <w:ind w:firstLine="0" w:firstLineChars="0"/>
              <w:jc w:val="center"/>
              <w:rPr>
                <w:rFonts w:hint="default" w:ascii="Times New Roman" w:hAnsi="Times New Roman" w:eastAsia="黑体" w:cs="Times New Roman"/>
                <w:color w:val="000000"/>
                <w:spacing w:val="0"/>
                <w:kern w:val="0"/>
                <w:sz w:val="24"/>
                <w:szCs w:val="24"/>
              </w:rPr>
            </w:pPr>
            <w:r>
              <w:rPr>
                <w:rFonts w:hint="default" w:ascii="Times New Roman" w:hAnsi="Times New Roman" w:eastAsia="黑体" w:cs="Times New Roman"/>
                <w:color w:val="000000"/>
                <w:spacing w:val="0"/>
                <w:kern w:val="0"/>
                <w:sz w:val="24"/>
                <w:szCs w:val="24"/>
              </w:rPr>
              <w:t>目标值</w:t>
            </w:r>
          </w:p>
        </w:tc>
        <w:tc>
          <w:tcPr>
            <w:tcW w:w="703" w:type="pct"/>
            <w:noWrap/>
            <w:vAlign w:val="center"/>
          </w:tcPr>
          <w:p w14:paraId="43106F56">
            <w:pPr>
              <w:widowControl/>
              <w:spacing w:line="240" w:lineRule="auto"/>
              <w:ind w:firstLine="0" w:firstLineChars="0"/>
              <w:jc w:val="center"/>
              <w:rPr>
                <w:rFonts w:hint="default" w:ascii="Times New Roman" w:hAnsi="Times New Roman" w:eastAsia="黑体" w:cs="Times New Roman"/>
                <w:color w:val="000000"/>
                <w:spacing w:val="0"/>
                <w:kern w:val="0"/>
                <w:sz w:val="24"/>
                <w:szCs w:val="24"/>
              </w:rPr>
            </w:pPr>
            <w:r>
              <w:rPr>
                <w:rFonts w:hint="default" w:ascii="Times New Roman" w:hAnsi="Times New Roman" w:eastAsia="黑体" w:cs="Times New Roman"/>
                <w:color w:val="000000"/>
                <w:spacing w:val="0"/>
                <w:kern w:val="0"/>
                <w:sz w:val="24"/>
                <w:szCs w:val="24"/>
              </w:rPr>
              <w:t>属性</w:t>
            </w:r>
          </w:p>
        </w:tc>
      </w:tr>
      <w:tr w14:paraId="4666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62CD0AB8">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w:t>
            </w:r>
          </w:p>
        </w:tc>
        <w:tc>
          <w:tcPr>
            <w:tcW w:w="2945" w:type="pct"/>
            <w:noWrap/>
            <w:vAlign w:val="center"/>
          </w:tcPr>
          <w:p w14:paraId="6F211832">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新引进青年人口（万人）</w:t>
            </w:r>
          </w:p>
        </w:tc>
        <w:tc>
          <w:tcPr>
            <w:tcW w:w="869" w:type="pct"/>
            <w:noWrap/>
          </w:tcPr>
          <w:p w14:paraId="63AA30D2">
            <w:pPr>
              <w:widowControl/>
              <w:spacing w:line="240" w:lineRule="auto"/>
              <w:ind w:firstLine="0" w:firstLineChars="0"/>
              <w:jc w:val="center"/>
              <w:rPr>
                <w:rFonts w:hint="default" w:ascii="Times New Roman" w:hAnsi="Times New Roman" w:eastAsia="仿宋_GB2312" w:cs="Times New Roman"/>
                <w:color w:val="000000"/>
                <w:spacing w:val="0"/>
                <w:kern w:val="0"/>
                <w:sz w:val="22"/>
                <w:lang w:eastAsia="zh-CN"/>
              </w:rPr>
            </w:pPr>
            <w:r>
              <w:rPr>
                <w:rFonts w:hint="default" w:ascii="Times New Roman" w:hAnsi="Times New Roman" w:cs="Times New Roman"/>
                <w:color w:val="000000"/>
                <w:spacing w:val="0"/>
                <w:kern w:val="0"/>
                <w:sz w:val="22"/>
                <w:lang w:val="en-US" w:eastAsia="zh-CN"/>
              </w:rPr>
              <w:t>9</w:t>
            </w:r>
          </w:p>
        </w:tc>
        <w:tc>
          <w:tcPr>
            <w:tcW w:w="703" w:type="pct"/>
            <w:noWrap/>
            <w:vAlign w:val="center"/>
          </w:tcPr>
          <w:p w14:paraId="131FCF78">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6FC7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74AAF652">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2</w:t>
            </w:r>
          </w:p>
        </w:tc>
        <w:tc>
          <w:tcPr>
            <w:tcW w:w="2945" w:type="pct"/>
            <w:noWrap/>
            <w:vAlign w:val="center"/>
          </w:tcPr>
          <w:p w14:paraId="5DB89256">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新增大专以上学历人才（万人）</w:t>
            </w:r>
          </w:p>
        </w:tc>
        <w:tc>
          <w:tcPr>
            <w:tcW w:w="869" w:type="pct"/>
            <w:noWrap/>
          </w:tcPr>
          <w:p w14:paraId="0CD2D279">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8</w:t>
            </w:r>
          </w:p>
        </w:tc>
        <w:tc>
          <w:tcPr>
            <w:tcW w:w="703" w:type="pct"/>
            <w:noWrap/>
            <w:vAlign w:val="center"/>
          </w:tcPr>
          <w:p w14:paraId="0EE12EA6">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6B78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497225D5">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3</w:t>
            </w:r>
          </w:p>
        </w:tc>
        <w:tc>
          <w:tcPr>
            <w:tcW w:w="2945" w:type="pct"/>
            <w:noWrap/>
            <w:vAlign w:val="center"/>
          </w:tcPr>
          <w:p w14:paraId="3B2229EE">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组织青年参加见实习人数（人）</w:t>
            </w:r>
          </w:p>
        </w:tc>
        <w:tc>
          <w:tcPr>
            <w:tcW w:w="869" w:type="pct"/>
            <w:noWrap/>
          </w:tcPr>
          <w:p w14:paraId="28AF693A">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2000</w:t>
            </w:r>
          </w:p>
        </w:tc>
        <w:tc>
          <w:tcPr>
            <w:tcW w:w="703" w:type="pct"/>
            <w:noWrap/>
            <w:vAlign w:val="center"/>
          </w:tcPr>
          <w:p w14:paraId="6C64A0C5">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059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0F0921E8">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4</w:t>
            </w:r>
          </w:p>
        </w:tc>
        <w:tc>
          <w:tcPr>
            <w:tcW w:w="2945" w:type="pct"/>
            <w:noWrap/>
            <w:vAlign w:val="center"/>
          </w:tcPr>
          <w:p w14:paraId="6C666A44">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支持青年成功自主创业人数（人）</w:t>
            </w:r>
          </w:p>
        </w:tc>
        <w:tc>
          <w:tcPr>
            <w:tcW w:w="869" w:type="pct"/>
            <w:noWrap/>
          </w:tcPr>
          <w:p w14:paraId="30079A41">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1000</w:t>
            </w:r>
          </w:p>
        </w:tc>
        <w:tc>
          <w:tcPr>
            <w:tcW w:w="703" w:type="pct"/>
            <w:noWrap/>
            <w:vAlign w:val="center"/>
          </w:tcPr>
          <w:p w14:paraId="2EB58AA7">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45CB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3ECABB34">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5</w:t>
            </w:r>
          </w:p>
        </w:tc>
        <w:tc>
          <w:tcPr>
            <w:tcW w:w="2945" w:type="pct"/>
            <w:noWrap/>
            <w:vAlign w:val="center"/>
          </w:tcPr>
          <w:p w14:paraId="027C8E1D">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年均新增大学生见实习基地数量（个）</w:t>
            </w:r>
          </w:p>
        </w:tc>
        <w:tc>
          <w:tcPr>
            <w:tcW w:w="869" w:type="pct"/>
            <w:noWrap/>
          </w:tcPr>
          <w:p w14:paraId="7F64A84D">
            <w:pPr>
              <w:widowControl/>
              <w:spacing w:line="240" w:lineRule="auto"/>
              <w:ind w:firstLine="0" w:firstLineChars="0"/>
              <w:jc w:val="center"/>
              <w:rPr>
                <w:rFonts w:hint="default" w:ascii="Times New Roman" w:hAnsi="Times New Roman" w:eastAsia="仿宋_GB2312" w:cs="Times New Roman"/>
                <w:color w:val="000000"/>
                <w:spacing w:val="0"/>
                <w:kern w:val="0"/>
                <w:sz w:val="22"/>
                <w:lang w:val="en-US" w:eastAsia="zh-CN"/>
              </w:rPr>
            </w:pPr>
            <w:r>
              <w:rPr>
                <w:rFonts w:hint="default" w:ascii="Times New Roman" w:hAnsi="Times New Roman" w:cs="Times New Roman"/>
                <w:color w:val="000000"/>
                <w:spacing w:val="0"/>
                <w:kern w:val="0"/>
                <w:sz w:val="22"/>
                <w:lang w:val="en-US" w:eastAsia="zh-CN"/>
              </w:rPr>
              <w:t>25</w:t>
            </w:r>
          </w:p>
        </w:tc>
        <w:tc>
          <w:tcPr>
            <w:tcW w:w="703" w:type="pct"/>
            <w:noWrap/>
            <w:vAlign w:val="center"/>
          </w:tcPr>
          <w:p w14:paraId="539993E6">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13DD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36AF66DC">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6</w:t>
            </w:r>
          </w:p>
        </w:tc>
        <w:tc>
          <w:tcPr>
            <w:tcW w:w="2945" w:type="pct"/>
            <w:noWrap/>
            <w:vAlign w:val="center"/>
          </w:tcPr>
          <w:p w14:paraId="0209D979">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青年创业孵化空间数量（个）</w:t>
            </w:r>
          </w:p>
        </w:tc>
        <w:tc>
          <w:tcPr>
            <w:tcW w:w="869" w:type="pct"/>
            <w:noWrap/>
          </w:tcPr>
          <w:p w14:paraId="4EE89860">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30</w:t>
            </w:r>
          </w:p>
        </w:tc>
        <w:tc>
          <w:tcPr>
            <w:tcW w:w="703" w:type="pct"/>
            <w:noWrap/>
            <w:vAlign w:val="center"/>
          </w:tcPr>
          <w:p w14:paraId="4C2A752A">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6EA4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09890BBE">
            <w:pPr>
              <w:widowControl/>
              <w:spacing w:line="240" w:lineRule="auto"/>
              <w:ind w:firstLine="0" w:firstLineChars="0"/>
              <w:jc w:val="center"/>
              <w:rPr>
                <w:rFonts w:hint="default" w:ascii="Times New Roman" w:hAnsi="Times New Roman" w:eastAsia="仿宋_GB2312" w:cs="Times New Roman"/>
                <w:color w:val="000000"/>
                <w:spacing w:val="0"/>
                <w:kern w:val="0"/>
                <w:sz w:val="24"/>
                <w:szCs w:val="24"/>
                <w:lang w:val="en-US" w:eastAsia="zh-CN"/>
              </w:rPr>
            </w:pPr>
            <w:r>
              <w:rPr>
                <w:rFonts w:hint="default" w:ascii="Times New Roman" w:hAnsi="Times New Roman" w:cs="Times New Roman"/>
                <w:color w:val="000000"/>
                <w:spacing w:val="0"/>
                <w:kern w:val="0"/>
                <w:sz w:val="24"/>
                <w:szCs w:val="24"/>
                <w:lang w:val="en-US" w:eastAsia="zh-CN"/>
              </w:rPr>
              <w:t>7</w:t>
            </w:r>
          </w:p>
        </w:tc>
        <w:tc>
          <w:tcPr>
            <w:tcW w:w="2945" w:type="pct"/>
            <w:noWrap/>
            <w:vAlign w:val="center"/>
          </w:tcPr>
          <w:p w14:paraId="2EC1FF12">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灵活就业人员累计开户人数（万人）</w:t>
            </w:r>
          </w:p>
        </w:tc>
        <w:tc>
          <w:tcPr>
            <w:tcW w:w="869" w:type="pct"/>
            <w:shd w:val="clear" w:color="auto" w:fill="auto"/>
            <w:noWrap/>
            <w:vAlign w:val="top"/>
          </w:tcPr>
          <w:p w14:paraId="1AD02273">
            <w:pPr>
              <w:widowControl/>
              <w:spacing w:line="240" w:lineRule="auto"/>
              <w:ind w:firstLine="0" w:firstLineChars="0"/>
              <w:jc w:val="center"/>
              <w:rPr>
                <w:rFonts w:hint="default" w:ascii="Times New Roman" w:hAnsi="Times New Roman" w:eastAsia="仿宋_GB2312" w:cs="Times New Roman"/>
                <w:color w:val="000000"/>
                <w:spacing w:val="0"/>
                <w:kern w:val="0"/>
                <w:sz w:val="22"/>
                <w:szCs w:val="22"/>
                <w:lang w:val="en-US" w:eastAsia="zh-CN" w:bidi="ar-SA"/>
              </w:rPr>
            </w:pPr>
            <w:r>
              <w:rPr>
                <w:rFonts w:hint="default" w:ascii="Times New Roman" w:hAnsi="Times New Roman" w:cs="Times New Roman"/>
                <w:color w:val="000000"/>
                <w:spacing w:val="0"/>
                <w:kern w:val="0"/>
                <w:sz w:val="22"/>
              </w:rPr>
              <w:t>10</w:t>
            </w:r>
          </w:p>
        </w:tc>
        <w:tc>
          <w:tcPr>
            <w:tcW w:w="703" w:type="pct"/>
            <w:shd w:val="clear" w:color="auto" w:fill="auto"/>
            <w:noWrap/>
            <w:vAlign w:val="center"/>
          </w:tcPr>
          <w:p w14:paraId="4F3D0AEF">
            <w:pPr>
              <w:widowControl/>
              <w:spacing w:line="240" w:lineRule="auto"/>
              <w:ind w:firstLine="0" w:firstLineChars="0"/>
              <w:jc w:val="center"/>
              <w:rPr>
                <w:rFonts w:hint="default" w:ascii="Times New Roman" w:hAnsi="Times New Roman" w:eastAsia="仿宋_GB2312" w:cs="Times New Roman"/>
                <w:color w:val="000000"/>
                <w:spacing w:val="0"/>
                <w:kern w:val="0"/>
                <w:sz w:val="22"/>
                <w:szCs w:val="22"/>
                <w:lang w:val="en-US" w:eastAsia="zh-CN" w:bidi="ar-SA"/>
              </w:rPr>
            </w:pPr>
            <w:r>
              <w:rPr>
                <w:rFonts w:hint="default" w:ascii="Times New Roman" w:hAnsi="Times New Roman" w:cs="Times New Roman"/>
                <w:color w:val="000000"/>
                <w:spacing w:val="0"/>
                <w:kern w:val="0"/>
                <w:sz w:val="22"/>
              </w:rPr>
              <w:t>预期性</w:t>
            </w:r>
          </w:p>
        </w:tc>
      </w:tr>
      <w:tr w14:paraId="46FE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3BF73F33">
            <w:pPr>
              <w:widowControl/>
              <w:spacing w:line="240" w:lineRule="auto"/>
              <w:ind w:firstLine="0" w:firstLineChars="0"/>
              <w:jc w:val="center"/>
              <w:rPr>
                <w:rFonts w:hint="default" w:ascii="Times New Roman" w:hAnsi="Times New Roman" w:eastAsia="仿宋_GB2312" w:cs="Times New Roman"/>
                <w:color w:val="000000"/>
                <w:spacing w:val="0"/>
                <w:kern w:val="0"/>
                <w:sz w:val="24"/>
                <w:szCs w:val="24"/>
                <w:lang w:val="en-US" w:eastAsia="zh-CN"/>
              </w:rPr>
            </w:pPr>
            <w:r>
              <w:rPr>
                <w:rFonts w:hint="default" w:ascii="Times New Roman" w:hAnsi="Times New Roman" w:cs="Times New Roman"/>
                <w:color w:val="000000"/>
                <w:spacing w:val="0"/>
                <w:kern w:val="0"/>
                <w:sz w:val="24"/>
                <w:szCs w:val="24"/>
                <w:lang w:val="en-US" w:eastAsia="zh-CN"/>
              </w:rPr>
              <w:t>8</w:t>
            </w:r>
          </w:p>
        </w:tc>
        <w:tc>
          <w:tcPr>
            <w:tcW w:w="2945" w:type="pct"/>
            <w:noWrap/>
            <w:vAlign w:val="center"/>
          </w:tcPr>
          <w:p w14:paraId="174058D4">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青年驿站数量（个）</w:t>
            </w:r>
          </w:p>
        </w:tc>
        <w:tc>
          <w:tcPr>
            <w:tcW w:w="869" w:type="pct"/>
            <w:noWrap/>
          </w:tcPr>
          <w:p w14:paraId="1A9C7391">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19</w:t>
            </w:r>
          </w:p>
        </w:tc>
        <w:tc>
          <w:tcPr>
            <w:tcW w:w="703" w:type="pct"/>
            <w:noWrap/>
            <w:vAlign w:val="center"/>
          </w:tcPr>
          <w:p w14:paraId="7F0A3E24">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2085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184FCA32">
            <w:pPr>
              <w:widowControl/>
              <w:spacing w:line="240" w:lineRule="auto"/>
              <w:ind w:firstLine="0" w:firstLineChars="0"/>
              <w:jc w:val="center"/>
              <w:rPr>
                <w:rFonts w:hint="default" w:ascii="Times New Roman" w:hAnsi="Times New Roman" w:eastAsia="仿宋_GB2312" w:cs="Times New Roman"/>
                <w:color w:val="000000"/>
                <w:spacing w:val="0"/>
                <w:kern w:val="0"/>
                <w:sz w:val="24"/>
                <w:szCs w:val="24"/>
                <w:lang w:val="en-US" w:eastAsia="zh-CN"/>
              </w:rPr>
            </w:pPr>
            <w:r>
              <w:rPr>
                <w:rFonts w:hint="default" w:ascii="Times New Roman" w:hAnsi="Times New Roman" w:cs="Times New Roman"/>
                <w:color w:val="000000"/>
                <w:spacing w:val="0"/>
                <w:kern w:val="0"/>
                <w:sz w:val="24"/>
                <w:szCs w:val="24"/>
                <w:lang w:val="en-US" w:eastAsia="zh-CN"/>
              </w:rPr>
              <w:t>9</w:t>
            </w:r>
          </w:p>
        </w:tc>
        <w:tc>
          <w:tcPr>
            <w:tcW w:w="2945" w:type="pct"/>
            <w:shd w:val="clear" w:color="auto" w:fill="auto"/>
            <w:noWrap/>
            <w:vAlign w:val="center"/>
          </w:tcPr>
          <w:p w14:paraId="4A5CB782">
            <w:pPr>
              <w:widowControl/>
              <w:spacing w:line="240" w:lineRule="auto"/>
              <w:ind w:firstLine="0" w:firstLineChars="0"/>
              <w:jc w:val="center"/>
              <w:rPr>
                <w:rFonts w:hint="default" w:ascii="Times New Roman" w:hAnsi="Times New Roman" w:eastAsia="仿宋_GB2312" w:cs="Times New Roman"/>
                <w:color w:val="000000"/>
                <w:spacing w:val="0"/>
                <w:kern w:val="0"/>
                <w:sz w:val="22"/>
                <w:szCs w:val="22"/>
                <w:lang w:val="en-US" w:eastAsia="zh-CN" w:bidi="ar-SA"/>
              </w:rPr>
            </w:pPr>
            <w:r>
              <w:rPr>
                <w:rFonts w:hint="default" w:ascii="Times New Roman" w:hAnsi="Times New Roman" w:cs="Times New Roman"/>
                <w:color w:val="000000"/>
                <w:spacing w:val="0"/>
                <w:kern w:val="0"/>
                <w:sz w:val="22"/>
              </w:rPr>
              <w:t>人才公寓套数（套）</w:t>
            </w:r>
          </w:p>
        </w:tc>
        <w:tc>
          <w:tcPr>
            <w:tcW w:w="869" w:type="pct"/>
            <w:shd w:val="clear" w:color="auto" w:fill="auto"/>
            <w:noWrap/>
            <w:vAlign w:val="top"/>
          </w:tcPr>
          <w:p w14:paraId="2B402367">
            <w:pPr>
              <w:widowControl/>
              <w:spacing w:line="240" w:lineRule="auto"/>
              <w:ind w:firstLine="0" w:firstLineChars="0"/>
              <w:jc w:val="center"/>
              <w:rPr>
                <w:rFonts w:hint="default" w:ascii="Times New Roman" w:hAnsi="Times New Roman" w:eastAsia="仿宋_GB2312" w:cs="Times New Roman"/>
                <w:color w:val="000000"/>
                <w:spacing w:val="0"/>
                <w:kern w:val="0"/>
                <w:sz w:val="22"/>
                <w:szCs w:val="22"/>
                <w:lang w:val="en-US" w:eastAsia="zh-CN" w:bidi="ar-SA"/>
              </w:rPr>
            </w:pPr>
            <w:r>
              <w:rPr>
                <w:rFonts w:hint="default" w:ascii="Times New Roman" w:hAnsi="Times New Roman" w:cs="Times New Roman"/>
                <w:color w:val="000000"/>
                <w:spacing w:val="0"/>
                <w:kern w:val="0"/>
                <w:sz w:val="22"/>
              </w:rPr>
              <w:t>10000</w:t>
            </w:r>
          </w:p>
        </w:tc>
        <w:tc>
          <w:tcPr>
            <w:tcW w:w="703" w:type="pct"/>
            <w:shd w:val="clear" w:color="auto" w:fill="auto"/>
            <w:noWrap/>
            <w:vAlign w:val="center"/>
          </w:tcPr>
          <w:p w14:paraId="6FC779E8">
            <w:pPr>
              <w:widowControl/>
              <w:spacing w:line="240" w:lineRule="auto"/>
              <w:ind w:firstLine="0" w:firstLineChars="0"/>
              <w:jc w:val="center"/>
              <w:rPr>
                <w:rFonts w:hint="default" w:ascii="Times New Roman" w:hAnsi="Times New Roman" w:eastAsia="仿宋_GB2312" w:cs="Times New Roman"/>
                <w:color w:val="000000"/>
                <w:spacing w:val="0"/>
                <w:kern w:val="0"/>
                <w:sz w:val="22"/>
                <w:szCs w:val="22"/>
                <w:lang w:val="en-US" w:eastAsia="zh-CN" w:bidi="ar-SA"/>
              </w:rPr>
            </w:pPr>
            <w:r>
              <w:rPr>
                <w:rFonts w:hint="default" w:ascii="Times New Roman" w:hAnsi="Times New Roman" w:cs="Times New Roman"/>
                <w:color w:val="000000"/>
                <w:spacing w:val="0"/>
                <w:kern w:val="0"/>
                <w:sz w:val="22"/>
              </w:rPr>
              <w:t>预期性</w:t>
            </w:r>
          </w:p>
        </w:tc>
      </w:tr>
      <w:tr w14:paraId="4F43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3A30B686">
            <w:pPr>
              <w:widowControl/>
              <w:spacing w:line="240" w:lineRule="auto"/>
              <w:ind w:firstLine="0" w:firstLineChars="0"/>
              <w:jc w:val="center"/>
              <w:rPr>
                <w:rFonts w:hint="default" w:ascii="Times New Roman" w:hAnsi="Times New Roman" w:eastAsia="仿宋_GB2312" w:cs="Times New Roman"/>
                <w:color w:val="000000"/>
                <w:spacing w:val="0"/>
                <w:kern w:val="0"/>
                <w:sz w:val="24"/>
                <w:szCs w:val="24"/>
                <w:lang w:val="en-US" w:eastAsia="zh-CN"/>
              </w:rPr>
            </w:pPr>
            <w:r>
              <w:rPr>
                <w:rFonts w:hint="default" w:ascii="Times New Roman" w:hAnsi="Times New Roman" w:cs="Times New Roman"/>
                <w:color w:val="000000"/>
                <w:spacing w:val="0"/>
                <w:kern w:val="0"/>
                <w:sz w:val="24"/>
                <w:szCs w:val="24"/>
                <w:lang w:val="en-US" w:eastAsia="zh-CN"/>
              </w:rPr>
              <w:t>10</w:t>
            </w:r>
          </w:p>
        </w:tc>
        <w:tc>
          <w:tcPr>
            <w:tcW w:w="2945" w:type="pct"/>
            <w:noWrap/>
            <w:vAlign w:val="center"/>
          </w:tcPr>
          <w:p w14:paraId="79D7156F">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青年社区数量（个）</w:t>
            </w:r>
          </w:p>
        </w:tc>
        <w:tc>
          <w:tcPr>
            <w:tcW w:w="869" w:type="pct"/>
            <w:noWrap/>
          </w:tcPr>
          <w:p w14:paraId="4B5E2C99">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8</w:t>
            </w:r>
          </w:p>
        </w:tc>
        <w:tc>
          <w:tcPr>
            <w:tcW w:w="703" w:type="pct"/>
            <w:noWrap/>
            <w:vAlign w:val="center"/>
          </w:tcPr>
          <w:p w14:paraId="76E1CB5C">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50AC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15646CA5">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11</w:t>
            </w:r>
          </w:p>
        </w:tc>
        <w:tc>
          <w:tcPr>
            <w:tcW w:w="2945" w:type="pct"/>
            <w:noWrap/>
            <w:vAlign w:val="center"/>
          </w:tcPr>
          <w:p w14:paraId="48A8A752">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青年对居住环境满意度（%）</w:t>
            </w:r>
          </w:p>
        </w:tc>
        <w:tc>
          <w:tcPr>
            <w:tcW w:w="869" w:type="pct"/>
            <w:noWrap/>
          </w:tcPr>
          <w:p w14:paraId="0927C32B">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95</w:t>
            </w:r>
          </w:p>
        </w:tc>
        <w:tc>
          <w:tcPr>
            <w:tcW w:w="703" w:type="pct"/>
            <w:noWrap/>
            <w:vAlign w:val="center"/>
          </w:tcPr>
          <w:p w14:paraId="5576FBF2">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7CA6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7F791DB8">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12</w:t>
            </w:r>
          </w:p>
        </w:tc>
        <w:tc>
          <w:tcPr>
            <w:tcW w:w="2945" w:type="pct"/>
            <w:noWrap/>
            <w:vAlign w:val="center"/>
          </w:tcPr>
          <w:p w14:paraId="64760FAE">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年均青年主题活动（音乐节、市集等）</w:t>
            </w:r>
            <w:r>
              <w:rPr>
                <w:rFonts w:hint="default" w:ascii="Times New Roman" w:hAnsi="Times New Roman" w:cs="Times New Roman"/>
                <w:color w:val="000000"/>
                <w:spacing w:val="0"/>
                <w:kern w:val="0"/>
                <w:sz w:val="22"/>
                <w:lang w:val="en-US" w:eastAsia="zh-CN"/>
              </w:rPr>
              <w:t>数量</w:t>
            </w:r>
            <w:r>
              <w:rPr>
                <w:rFonts w:hint="default" w:ascii="Times New Roman" w:hAnsi="Times New Roman" w:cs="Times New Roman"/>
                <w:color w:val="000000"/>
                <w:spacing w:val="0"/>
                <w:kern w:val="0"/>
                <w:sz w:val="22"/>
              </w:rPr>
              <w:t>（场）</w:t>
            </w:r>
          </w:p>
        </w:tc>
        <w:tc>
          <w:tcPr>
            <w:tcW w:w="869" w:type="pct"/>
            <w:noWrap/>
          </w:tcPr>
          <w:p w14:paraId="20447F86">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spacing w:val="0"/>
                <w:kern w:val="0"/>
                <w:sz w:val="22"/>
              </w:rPr>
              <w:t>50</w:t>
            </w:r>
          </w:p>
        </w:tc>
        <w:tc>
          <w:tcPr>
            <w:tcW w:w="703" w:type="pct"/>
            <w:noWrap/>
            <w:vAlign w:val="center"/>
          </w:tcPr>
          <w:p w14:paraId="7EDCEE13">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6454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1277D918">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13</w:t>
            </w:r>
          </w:p>
        </w:tc>
        <w:tc>
          <w:tcPr>
            <w:tcW w:w="2945" w:type="pct"/>
            <w:noWrap/>
            <w:vAlign w:val="center"/>
          </w:tcPr>
          <w:p w14:paraId="1AD02B3D">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每千名3岁以下婴幼儿拥有托位数（个）</w:t>
            </w:r>
          </w:p>
        </w:tc>
        <w:tc>
          <w:tcPr>
            <w:tcW w:w="869" w:type="pct"/>
            <w:noWrap/>
          </w:tcPr>
          <w:p w14:paraId="3F177B82">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300</w:t>
            </w:r>
          </w:p>
        </w:tc>
        <w:tc>
          <w:tcPr>
            <w:tcW w:w="703" w:type="pct"/>
            <w:noWrap/>
            <w:vAlign w:val="center"/>
          </w:tcPr>
          <w:p w14:paraId="02E9F47C">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34784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290B41F8">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14</w:t>
            </w:r>
          </w:p>
        </w:tc>
        <w:tc>
          <w:tcPr>
            <w:tcW w:w="2945" w:type="pct"/>
            <w:noWrap/>
            <w:vAlign w:val="center"/>
          </w:tcPr>
          <w:p w14:paraId="2FEE84C3">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普通高中招生计划占比（%）</w:t>
            </w:r>
          </w:p>
        </w:tc>
        <w:tc>
          <w:tcPr>
            <w:tcW w:w="869" w:type="pct"/>
            <w:noWrap/>
          </w:tcPr>
          <w:p w14:paraId="6C67F31F">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不低于苏州水平</w:t>
            </w:r>
          </w:p>
        </w:tc>
        <w:tc>
          <w:tcPr>
            <w:tcW w:w="703" w:type="pct"/>
            <w:noWrap/>
            <w:vAlign w:val="center"/>
          </w:tcPr>
          <w:p w14:paraId="6AE6D4A2">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5594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060C6807">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15</w:t>
            </w:r>
          </w:p>
        </w:tc>
        <w:tc>
          <w:tcPr>
            <w:tcW w:w="2945" w:type="pct"/>
            <w:noWrap/>
            <w:vAlign w:val="center"/>
          </w:tcPr>
          <w:p w14:paraId="24FF7B35">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青年体质</w:t>
            </w:r>
            <w:r>
              <w:rPr>
                <w:rFonts w:hint="default" w:ascii="Times New Roman" w:hAnsi="Times New Roman" w:cs="Times New Roman"/>
                <w:color w:val="000000"/>
                <w:spacing w:val="0"/>
                <w:kern w:val="0"/>
                <w:sz w:val="22"/>
                <w:lang w:val="en-US" w:eastAsia="zh-CN"/>
              </w:rPr>
              <w:t>健康标准达标优良</w:t>
            </w:r>
            <w:r>
              <w:rPr>
                <w:rFonts w:hint="default" w:ascii="Times New Roman" w:hAnsi="Times New Roman" w:cs="Times New Roman"/>
                <w:color w:val="000000"/>
                <w:spacing w:val="0"/>
                <w:kern w:val="0"/>
                <w:sz w:val="22"/>
              </w:rPr>
              <w:t>率（%）</w:t>
            </w:r>
          </w:p>
        </w:tc>
        <w:tc>
          <w:tcPr>
            <w:tcW w:w="869" w:type="pct"/>
            <w:noWrap/>
          </w:tcPr>
          <w:p w14:paraId="78266F9A">
            <w:pPr>
              <w:widowControl/>
              <w:spacing w:line="240" w:lineRule="auto"/>
              <w:ind w:firstLine="0" w:firstLineChars="0"/>
              <w:jc w:val="center"/>
              <w:rPr>
                <w:rFonts w:hint="default" w:ascii="Times New Roman" w:hAnsi="Times New Roman" w:eastAsia="仿宋_GB2312" w:cs="Times New Roman"/>
                <w:color w:val="000000"/>
                <w:spacing w:val="0"/>
                <w:kern w:val="0"/>
                <w:sz w:val="22"/>
                <w:lang w:val="en-US" w:eastAsia="zh-CN"/>
              </w:rPr>
            </w:pPr>
            <w:r>
              <w:rPr>
                <w:rFonts w:hint="default" w:ascii="Times New Roman" w:hAnsi="Times New Roman" w:cs="Times New Roman"/>
                <w:color w:val="000000"/>
                <w:spacing w:val="0"/>
                <w:kern w:val="0"/>
                <w:sz w:val="22"/>
                <w:lang w:val="en-US" w:eastAsia="zh-CN"/>
              </w:rPr>
              <w:t>60以上</w:t>
            </w:r>
          </w:p>
        </w:tc>
        <w:tc>
          <w:tcPr>
            <w:tcW w:w="703" w:type="pct"/>
            <w:noWrap/>
            <w:vAlign w:val="center"/>
          </w:tcPr>
          <w:p w14:paraId="75944E7E">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03A3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32624180">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16</w:t>
            </w:r>
          </w:p>
        </w:tc>
        <w:tc>
          <w:tcPr>
            <w:tcW w:w="2945" w:type="pct"/>
            <w:noWrap/>
            <w:vAlign w:val="center"/>
          </w:tcPr>
          <w:p w14:paraId="7E779048">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spacing w:val="0"/>
                <w:kern w:val="0"/>
                <w:sz w:val="22"/>
              </w:rPr>
              <w:t>学校心理健康辅导咨询室设置率</w:t>
            </w:r>
            <w:r>
              <w:rPr>
                <w:rFonts w:hint="default" w:ascii="Times New Roman" w:hAnsi="Times New Roman" w:cs="Times New Roman"/>
                <w:color w:val="000000"/>
                <w:spacing w:val="0"/>
                <w:kern w:val="0"/>
                <w:sz w:val="22"/>
              </w:rPr>
              <w:t>（%）</w:t>
            </w:r>
          </w:p>
        </w:tc>
        <w:tc>
          <w:tcPr>
            <w:tcW w:w="869" w:type="pct"/>
            <w:noWrap/>
          </w:tcPr>
          <w:p w14:paraId="4BE7109E">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100</w:t>
            </w:r>
          </w:p>
        </w:tc>
        <w:tc>
          <w:tcPr>
            <w:tcW w:w="703" w:type="pct"/>
            <w:noWrap/>
            <w:vAlign w:val="center"/>
          </w:tcPr>
          <w:p w14:paraId="7A755DFA">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约束性</w:t>
            </w:r>
          </w:p>
        </w:tc>
      </w:tr>
      <w:tr w14:paraId="2C26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29A24EEE">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17</w:t>
            </w:r>
          </w:p>
        </w:tc>
        <w:tc>
          <w:tcPr>
            <w:tcW w:w="2945" w:type="pct"/>
            <w:noWrap/>
            <w:vAlign w:val="center"/>
          </w:tcPr>
          <w:p w14:paraId="52BACA0A">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12355青少年权益维护个案处置率（%）</w:t>
            </w:r>
          </w:p>
        </w:tc>
        <w:tc>
          <w:tcPr>
            <w:tcW w:w="869" w:type="pct"/>
            <w:noWrap/>
          </w:tcPr>
          <w:p w14:paraId="62E5C9B5">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100</w:t>
            </w:r>
          </w:p>
        </w:tc>
        <w:tc>
          <w:tcPr>
            <w:tcW w:w="703" w:type="pct"/>
            <w:noWrap/>
            <w:vAlign w:val="center"/>
          </w:tcPr>
          <w:p w14:paraId="24780A0F">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约束性</w:t>
            </w:r>
          </w:p>
        </w:tc>
      </w:tr>
      <w:tr w14:paraId="2EC5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627EF37D">
            <w:pPr>
              <w:widowControl/>
              <w:spacing w:line="240" w:lineRule="auto"/>
              <w:ind w:firstLine="0" w:firstLineChars="0"/>
              <w:jc w:val="center"/>
              <w:rPr>
                <w:rFonts w:hint="default" w:ascii="Times New Roman" w:hAnsi="Times New Roman" w:cs="Times New Roman"/>
                <w:color w:val="000000"/>
                <w:spacing w:val="0"/>
                <w:kern w:val="0"/>
                <w:sz w:val="24"/>
                <w:szCs w:val="24"/>
              </w:rPr>
            </w:pPr>
            <w:r>
              <w:rPr>
                <w:rFonts w:hint="default" w:ascii="Times New Roman" w:hAnsi="Times New Roman" w:cs="Times New Roman"/>
                <w:color w:val="000000"/>
                <w:spacing w:val="0"/>
                <w:kern w:val="0"/>
                <w:sz w:val="24"/>
                <w:szCs w:val="24"/>
              </w:rPr>
              <w:t>18</w:t>
            </w:r>
          </w:p>
        </w:tc>
        <w:tc>
          <w:tcPr>
            <w:tcW w:w="2945" w:type="pct"/>
            <w:noWrap/>
            <w:vAlign w:val="center"/>
          </w:tcPr>
          <w:p w14:paraId="3B4FE398">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青少年理想信念与爱国主义教育和实践活动覆盖率（%）</w:t>
            </w:r>
          </w:p>
        </w:tc>
        <w:tc>
          <w:tcPr>
            <w:tcW w:w="869" w:type="pct"/>
            <w:noWrap/>
            <w:vAlign w:val="center"/>
          </w:tcPr>
          <w:p w14:paraId="02DB0841">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100</w:t>
            </w:r>
          </w:p>
        </w:tc>
        <w:tc>
          <w:tcPr>
            <w:tcW w:w="703" w:type="pct"/>
            <w:noWrap/>
            <w:vAlign w:val="center"/>
          </w:tcPr>
          <w:p w14:paraId="27D84469">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约束性</w:t>
            </w:r>
          </w:p>
        </w:tc>
      </w:tr>
      <w:tr w14:paraId="0012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241B7D02">
            <w:pPr>
              <w:widowControl/>
              <w:spacing w:line="240" w:lineRule="auto"/>
              <w:ind w:firstLine="0" w:firstLineChars="0"/>
              <w:jc w:val="center"/>
              <w:rPr>
                <w:rFonts w:hint="default" w:ascii="Times New Roman" w:hAnsi="Times New Roman" w:eastAsia="仿宋_GB2312" w:cs="Times New Roman"/>
                <w:color w:val="000000"/>
                <w:spacing w:val="0"/>
                <w:kern w:val="0"/>
                <w:sz w:val="24"/>
                <w:szCs w:val="24"/>
                <w:lang w:val="en-US" w:eastAsia="zh-CN"/>
              </w:rPr>
            </w:pPr>
            <w:r>
              <w:rPr>
                <w:rFonts w:hint="default" w:ascii="Times New Roman" w:hAnsi="Times New Roman" w:cs="Times New Roman"/>
                <w:color w:val="000000"/>
                <w:spacing w:val="0"/>
                <w:kern w:val="0"/>
                <w:sz w:val="24"/>
                <w:szCs w:val="24"/>
                <w:lang w:val="en-US" w:eastAsia="zh-CN"/>
              </w:rPr>
              <w:t>19</w:t>
            </w:r>
          </w:p>
        </w:tc>
        <w:tc>
          <w:tcPr>
            <w:tcW w:w="2945" w:type="pct"/>
            <w:shd w:val="clear" w:color="auto" w:fill="auto"/>
            <w:noWrap/>
            <w:vAlign w:val="center"/>
          </w:tcPr>
          <w:p w14:paraId="0AB7E86A">
            <w:pPr>
              <w:widowControl/>
              <w:spacing w:line="240" w:lineRule="auto"/>
              <w:ind w:firstLine="0" w:firstLineChars="0"/>
              <w:jc w:val="center"/>
              <w:rPr>
                <w:rFonts w:hint="default" w:ascii="Times New Roman" w:hAnsi="Times New Roman" w:eastAsia="仿宋_GB2312" w:cs="Times New Roman"/>
                <w:color w:val="000000"/>
                <w:spacing w:val="0"/>
                <w:kern w:val="0"/>
                <w:sz w:val="22"/>
                <w:szCs w:val="22"/>
                <w:highlight w:val="yellow"/>
                <w:lang w:val="en-US" w:eastAsia="zh-CN" w:bidi="ar-SA"/>
              </w:rPr>
            </w:pPr>
            <w:r>
              <w:rPr>
                <w:rFonts w:hint="default" w:ascii="Times New Roman" w:hAnsi="Times New Roman" w:cs="Times New Roman"/>
                <w:color w:val="000000"/>
                <w:spacing w:val="0"/>
                <w:kern w:val="0"/>
                <w:sz w:val="22"/>
              </w:rPr>
              <w:t>年均青年理论宣讲活动</w:t>
            </w:r>
            <w:r>
              <w:rPr>
                <w:rFonts w:hint="default" w:ascii="Times New Roman" w:hAnsi="Times New Roman" w:cs="Times New Roman"/>
                <w:color w:val="000000"/>
                <w:spacing w:val="0"/>
                <w:kern w:val="0"/>
                <w:sz w:val="22"/>
                <w:lang w:val="en-US" w:eastAsia="zh-CN"/>
              </w:rPr>
              <w:t>数量</w:t>
            </w:r>
            <w:r>
              <w:rPr>
                <w:rFonts w:hint="default" w:ascii="Times New Roman" w:hAnsi="Times New Roman" w:cs="Times New Roman"/>
                <w:color w:val="000000"/>
                <w:spacing w:val="0"/>
                <w:kern w:val="0"/>
                <w:sz w:val="22"/>
              </w:rPr>
              <w:t>（场）</w:t>
            </w:r>
          </w:p>
        </w:tc>
        <w:tc>
          <w:tcPr>
            <w:tcW w:w="869" w:type="pct"/>
            <w:shd w:val="clear" w:color="auto" w:fill="auto"/>
            <w:noWrap/>
            <w:vAlign w:val="top"/>
          </w:tcPr>
          <w:p w14:paraId="3DF22DEC">
            <w:pPr>
              <w:widowControl/>
              <w:spacing w:line="240" w:lineRule="auto"/>
              <w:ind w:firstLine="0" w:firstLineChars="0"/>
              <w:jc w:val="center"/>
              <w:rPr>
                <w:rFonts w:hint="default" w:ascii="Times New Roman" w:hAnsi="Times New Roman" w:eastAsia="仿宋_GB2312" w:cs="Times New Roman"/>
                <w:color w:val="000000"/>
                <w:spacing w:val="0"/>
                <w:kern w:val="0"/>
                <w:sz w:val="22"/>
                <w:szCs w:val="22"/>
                <w:highlight w:val="yellow"/>
                <w:lang w:val="en-US" w:eastAsia="zh-CN" w:bidi="ar-SA"/>
              </w:rPr>
            </w:pPr>
            <w:r>
              <w:rPr>
                <w:rFonts w:hint="default" w:ascii="Times New Roman" w:hAnsi="Times New Roman" w:cs="Times New Roman"/>
                <w:color w:val="000000"/>
                <w:spacing w:val="0"/>
                <w:kern w:val="0"/>
                <w:sz w:val="22"/>
              </w:rPr>
              <w:t>30</w:t>
            </w:r>
          </w:p>
        </w:tc>
        <w:tc>
          <w:tcPr>
            <w:tcW w:w="703" w:type="pct"/>
            <w:shd w:val="clear" w:color="auto" w:fill="auto"/>
            <w:noWrap/>
            <w:vAlign w:val="center"/>
          </w:tcPr>
          <w:p w14:paraId="618BDF0E">
            <w:pPr>
              <w:widowControl/>
              <w:spacing w:line="240" w:lineRule="auto"/>
              <w:ind w:firstLine="0" w:firstLineChars="0"/>
              <w:jc w:val="center"/>
              <w:rPr>
                <w:rFonts w:hint="default" w:ascii="Times New Roman" w:hAnsi="Times New Roman" w:eastAsia="仿宋_GB2312" w:cs="Times New Roman"/>
                <w:color w:val="000000"/>
                <w:spacing w:val="0"/>
                <w:kern w:val="0"/>
                <w:sz w:val="22"/>
                <w:szCs w:val="22"/>
                <w:lang w:val="en-US" w:eastAsia="zh-CN" w:bidi="ar-SA"/>
              </w:rPr>
            </w:pPr>
            <w:r>
              <w:rPr>
                <w:rFonts w:hint="default" w:ascii="Times New Roman" w:hAnsi="Times New Roman" w:cs="Times New Roman"/>
                <w:color w:val="000000"/>
                <w:spacing w:val="0"/>
                <w:kern w:val="0"/>
                <w:sz w:val="22"/>
              </w:rPr>
              <w:t>预期性</w:t>
            </w:r>
          </w:p>
        </w:tc>
      </w:tr>
      <w:tr w14:paraId="35CC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5FB7681C">
            <w:pPr>
              <w:widowControl/>
              <w:spacing w:line="240" w:lineRule="auto"/>
              <w:ind w:firstLine="0" w:firstLineChars="0"/>
              <w:jc w:val="center"/>
              <w:rPr>
                <w:rFonts w:hint="default" w:ascii="Times New Roman" w:hAnsi="Times New Roman" w:eastAsia="仿宋_GB2312" w:cs="Times New Roman"/>
                <w:color w:val="000000"/>
                <w:spacing w:val="0"/>
                <w:kern w:val="0"/>
                <w:sz w:val="24"/>
                <w:szCs w:val="24"/>
                <w:lang w:val="en-US" w:eastAsia="zh-CN"/>
              </w:rPr>
            </w:pPr>
            <w:r>
              <w:rPr>
                <w:rFonts w:hint="default" w:ascii="Times New Roman" w:hAnsi="Times New Roman" w:cs="Times New Roman"/>
                <w:color w:val="000000"/>
                <w:spacing w:val="0"/>
                <w:kern w:val="0"/>
                <w:sz w:val="24"/>
                <w:szCs w:val="24"/>
                <w:lang w:val="en-US" w:eastAsia="zh-CN"/>
              </w:rPr>
              <w:t>20</w:t>
            </w:r>
          </w:p>
        </w:tc>
        <w:tc>
          <w:tcPr>
            <w:tcW w:w="2945" w:type="pct"/>
            <w:noWrap/>
            <w:vAlign w:val="center"/>
          </w:tcPr>
          <w:p w14:paraId="1A21F163">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年均社区青年干事数量（人）</w:t>
            </w:r>
          </w:p>
        </w:tc>
        <w:tc>
          <w:tcPr>
            <w:tcW w:w="869" w:type="pct"/>
            <w:noWrap/>
          </w:tcPr>
          <w:p w14:paraId="23361611">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20</w:t>
            </w:r>
          </w:p>
        </w:tc>
        <w:tc>
          <w:tcPr>
            <w:tcW w:w="703" w:type="pct"/>
            <w:noWrap/>
            <w:vAlign w:val="center"/>
          </w:tcPr>
          <w:p w14:paraId="6CF95F5E">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4BF0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026962CC">
            <w:pPr>
              <w:widowControl/>
              <w:spacing w:line="240" w:lineRule="auto"/>
              <w:ind w:firstLine="0" w:firstLineChars="0"/>
              <w:jc w:val="center"/>
              <w:rPr>
                <w:rFonts w:hint="default" w:ascii="Times New Roman" w:hAnsi="Times New Roman" w:eastAsia="仿宋_GB2312" w:cs="Times New Roman"/>
                <w:color w:val="000000"/>
                <w:spacing w:val="0"/>
                <w:kern w:val="0"/>
                <w:sz w:val="24"/>
                <w:szCs w:val="24"/>
                <w:lang w:eastAsia="zh-CN"/>
              </w:rPr>
            </w:pPr>
            <w:r>
              <w:rPr>
                <w:rFonts w:hint="default" w:ascii="Times New Roman" w:hAnsi="Times New Roman" w:cs="Times New Roman"/>
                <w:color w:val="000000"/>
                <w:spacing w:val="0"/>
                <w:kern w:val="0"/>
                <w:sz w:val="24"/>
                <w:szCs w:val="24"/>
              </w:rPr>
              <w:t>2</w:t>
            </w:r>
            <w:r>
              <w:rPr>
                <w:rFonts w:hint="default" w:ascii="Times New Roman" w:hAnsi="Times New Roman" w:cs="Times New Roman"/>
                <w:color w:val="000000"/>
                <w:spacing w:val="0"/>
                <w:kern w:val="0"/>
                <w:sz w:val="24"/>
                <w:szCs w:val="24"/>
                <w:lang w:val="en-US" w:eastAsia="zh-CN"/>
              </w:rPr>
              <w:t>1</w:t>
            </w:r>
          </w:p>
        </w:tc>
        <w:tc>
          <w:tcPr>
            <w:tcW w:w="2945" w:type="pct"/>
            <w:noWrap/>
            <w:vAlign w:val="center"/>
          </w:tcPr>
          <w:p w14:paraId="1FFFE31C">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年均定制新农干数量（人）</w:t>
            </w:r>
          </w:p>
        </w:tc>
        <w:tc>
          <w:tcPr>
            <w:tcW w:w="869" w:type="pct"/>
            <w:noWrap/>
          </w:tcPr>
          <w:p w14:paraId="36B86917">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5</w:t>
            </w:r>
          </w:p>
        </w:tc>
        <w:tc>
          <w:tcPr>
            <w:tcW w:w="703" w:type="pct"/>
            <w:noWrap/>
            <w:vAlign w:val="center"/>
          </w:tcPr>
          <w:p w14:paraId="5BA45F83">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r w14:paraId="6AB3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1" w:type="pct"/>
            <w:noWrap/>
            <w:vAlign w:val="center"/>
          </w:tcPr>
          <w:p w14:paraId="76E7B8EF">
            <w:pPr>
              <w:widowControl/>
              <w:spacing w:line="240" w:lineRule="auto"/>
              <w:ind w:firstLine="0" w:firstLineChars="0"/>
              <w:jc w:val="center"/>
              <w:rPr>
                <w:rFonts w:hint="default" w:ascii="Times New Roman" w:hAnsi="Times New Roman" w:eastAsia="仿宋_GB2312" w:cs="Times New Roman"/>
                <w:color w:val="000000"/>
                <w:spacing w:val="0"/>
                <w:kern w:val="0"/>
                <w:sz w:val="24"/>
                <w:szCs w:val="24"/>
                <w:lang w:eastAsia="zh-CN"/>
              </w:rPr>
            </w:pPr>
            <w:r>
              <w:rPr>
                <w:rFonts w:hint="default" w:ascii="Times New Roman" w:hAnsi="Times New Roman" w:cs="Times New Roman"/>
                <w:color w:val="000000"/>
                <w:spacing w:val="0"/>
                <w:kern w:val="0"/>
                <w:sz w:val="24"/>
                <w:szCs w:val="24"/>
              </w:rPr>
              <w:t>2</w:t>
            </w:r>
            <w:r>
              <w:rPr>
                <w:rFonts w:hint="default" w:ascii="Times New Roman" w:hAnsi="Times New Roman" w:cs="Times New Roman"/>
                <w:color w:val="000000"/>
                <w:spacing w:val="0"/>
                <w:kern w:val="0"/>
                <w:sz w:val="24"/>
                <w:szCs w:val="24"/>
                <w:lang w:val="en-US" w:eastAsia="zh-CN"/>
              </w:rPr>
              <w:t>2</w:t>
            </w:r>
          </w:p>
        </w:tc>
        <w:tc>
          <w:tcPr>
            <w:tcW w:w="2945" w:type="pct"/>
            <w:noWrap/>
            <w:vAlign w:val="center"/>
          </w:tcPr>
          <w:p w14:paraId="32AE91BA">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年均志愿服务时长（时）</w:t>
            </w:r>
          </w:p>
        </w:tc>
        <w:tc>
          <w:tcPr>
            <w:tcW w:w="869" w:type="pct"/>
            <w:noWrap/>
          </w:tcPr>
          <w:p w14:paraId="6E194B6F">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10000</w:t>
            </w:r>
          </w:p>
        </w:tc>
        <w:tc>
          <w:tcPr>
            <w:tcW w:w="703" w:type="pct"/>
            <w:noWrap/>
            <w:vAlign w:val="center"/>
          </w:tcPr>
          <w:p w14:paraId="5B6FCA5F">
            <w:pPr>
              <w:widowControl/>
              <w:spacing w:line="240" w:lineRule="auto"/>
              <w:ind w:firstLine="0" w:firstLineChars="0"/>
              <w:jc w:val="center"/>
              <w:rPr>
                <w:rFonts w:hint="default" w:ascii="Times New Roman" w:hAnsi="Times New Roman" w:cs="Times New Roman"/>
                <w:color w:val="000000"/>
                <w:spacing w:val="0"/>
                <w:kern w:val="0"/>
                <w:sz w:val="22"/>
              </w:rPr>
            </w:pPr>
            <w:r>
              <w:rPr>
                <w:rFonts w:hint="default" w:ascii="Times New Roman" w:hAnsi="Times New Roman" w:cs="Times New Roman"/>
                <w:color w:val="000000"/>
                <w:spacing w:val="0"/>
                <w:kern w:val="0"/>
                <w:sz w:val="22"/>
              </w:rPr>
              <w:t>预期性</w:t>
            </w:r>
          </w:p>
        </w:tc>
      </w:tr>
    </w:tbl>
    <w:p w14:paraId="32E4E689">
      <w:pPr>
        <w:pStyle w:val="2"/>
        <w:spacing w:before="312" w:beforeLines="100"/>
        <w:ind w:left="0" w:leftChars="0" w:firstLine="616" w:firstLineChars="200"/>
        <w:rPr>
          <w:rFonts w:hint="default" w:ascii="Times New Roman" w:hAnsi="Times New Roman" w:cs="Times New Roman"/>
        </w:rPr>
      </w:pPr>
      <w:bookmarkStart w:id="10" w:name="_Toc6136"/>
      <w:r>
        <w:rPr>
          <w:rFonts w:hint="default" w:ascii="Times New Roman" w:hAnsi="Times New Roman" w:cs="Times New Roman"/>
        </w:rPr>
        <w:t>三、建设锦绣田园青年向往之城</w:t>
      </w:r>
      <w:bookmarkEnd w:id="10"/>
    </w:p>
    <w:p w14:paraId="126CE87E">
      <w:pPr>
        <w:widowControl/>
        <w:ind w:firstLine="616"/>
        <w:outlineLvl w:val="1"/>
        <w:rPr>
          <w:rFonts w:hint="default" w:ascii="Times New Roman" w:hAnsi="Times New Roman" w:eastAsia="楷体_GB2312" w:cs="Times New Roman"/>
          <w:szCs w:val="32"/>
        </w:rPr>
      </w:pPr>
      <w:bookmarkStart w:id="11" w:name="_Toc22489"/>
      <w:r>
        <w:rPr>
          <w:rFonts w:hint="default" w:ascii="Times New Roman" w:hAnsi="Times New Roman" w:eastAsia="楷体_GB2312" w:cs="Times New Roman"/>
          <w:szCs w:val="32"/>
        </w:rPr>
        <w:t>（一）构建青年发展型城市空间</w:t>
      </w:r>
      <w:bookmarkEnd w:id="11"/>
    </w:p>
    <w:p w14:paraId="771FF1A0">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完善青年发展型城市规划体系</w:t>
      </w:r>
      <w:r>
        <w:rPr>
          <w:rFonts w:hint="default" w:ascii="Times New Roman" w:hAnsi="Times New Roman" w:cs="Times New Roman"/>
          <w:szCs w:val="32"/>
        </w:rPr>
        <w:t>。将青年优先发展理念全面融入城市发展战略和国土空间规划，从城市功能定位、空间布局、产业发展、基础设施、公共服务等各方面充分考虑青年发展需求，在城市规划、建设、管理全过程中体现青春元素。突出“产城人”融合发展理念，全面推进娄江新城规划建设向纵深发展，优化四大功能规划布局，重点做大做强智能制造区，加快招引现代物贸、港航服务业等现代服务业，打造太仓大道两侧高品质楼宇经济带，推进高品质住宅和人才公寓多点布局，建设以产兴城、以城聚人、以人为本的现代化新城典范。加快科教创新区、高铁商务区、智能制造区和国际人才社区开发建设。发挥智汇谷·科技创新园集聚青年科创人才优势，深化与大飞机江苏太仓研究中心等高能级平台合作，持续深耕航空航天、新能源汽车、数字经济等三大产业赛道，深挖人工智能产业细分领域项目，全力助推龙头企业落地。推动智汇谷、西浦创业家学院（太仓）、长三角国际人力资源服务中心（HRSC）项目等重点功能区建设。</w:t>
      </w:r>
      <w:bookmarkStart w:id="12" w:name="_Hlk213083620"/>
    </w:p>
    <w:p w14:paraId="1F858EBF">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优化青年发展型城市人居环境</w:t>
      </w:r>
      <w:r>
        <w:rPr>
          <w:rFonts w:hint="default" w:ascii="Times New Roman" w:hAnsi="Times New Roman" w:cs="Times New Roman"/>
          <w:szCs w:val="32"/>
        </w:rPr>
        <w:t>。持续完善“一心两湖三环四园”的现代田园城市生态体系，提升空气质量。持续提升三绿指标，绿地率、绿化覆盖率、人均公园绿地面积保持国家生态园林城市标准水平。有机融合公园形态与城市空间，优化绿地与公共空间配置，布局建设一批科创型、人文型、运动型、山水型等城市主题公园，增加可进入式草坪、街头运动等开放式公共场地。全面升级优化公交线路布局，提档公共自行车租赁服务，提升城市交通便捷性。加快美丽乡村建设，引导农村青年投身打造“五美五好”生态宜居美丽乡村，推动城乡融合发展。塑造现代田园城市，激扬城市活力，展现城市魅力，为青年提供丰富多元的生活场景和优质人居环境。</w:t>
      </w:r>
    </w:p>
    <w:bookmarkEnd w:id="12"/>
    <w:p w14:paraId="61C20688">
      <w:pPr>
        <w:widowControl/>
        <w:ind w:firstLine="616"/>
        <w:outlineLvl w:val="1"/>
        <w:rPr>
          <w:rFonts w:hint="default" w:ascii="Times New Roman" w:hAnsi="Times New Roman" w:eastAsia="楷体_GB2312" w:cs="Times New Roman"/>
          <w:szCs w:val="32"/>
        </w:rPr>
      </w:pPr>
      <w:bookmarkStart w:id="13" w:name="_Toc2967"/>
      <w:r>
        <w:rPr>
          <w:rFonts w:hint="default" w:ascii="Times New Roman" w:hAnsi="Times New Roman" w:eastAsia="楷体_GB2312" w:cs="Times New Roman"/>
          <w:szCs w:val="32"/>
        </w:rPr>
        <w:t>（二）营造青年发展型文化氛围</w:t>
      </w:r>
      <w:bookmarkEnd w:id="13"/>
    </w:p>
    <w:p w14:paraId="6B8184BE">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构建青年文化城市IP</w:t>
      </w:r>
      <w:r>
        <w:rPr>
          <w:rFonts w:hint="default" w:ascii="Times New Roman" w:hAnsi="Times New Roman" w:cs="Times New Roman"/>
          <w:szCs w:val="32"/>
        </w:rPr>
        <w:t>。推出太仓青年发展型城市建设口号和LOGO，构建具有太仓特色的青年文化宣传标识体系。基于娄东文化、开放文化、科创文化三大核心文化，结合德式风情、工业旅游等现代特色文化元素，确立统领性的城市文化IP与青年文化主品牌，让“太懂青年”成为城市新名片。依托核心文化提炼数字文化资产，设计并推广青年喜爱的城市吉祥物、视觉标识系统、表情包等文化符号，应用在青年聚集的校园、企业、商圈、文创园区等场所，强化太仓青年文化品牌的视觉记忆和情感认同。</w:t>
      </w:r>
    </w:p>
    <w:p w14:paraId="62CE5818">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培育青年文化精品矩阵</w:t>
      </w:r>
      <w:r>
        <w:rPr>
          <w:rFonts w:hint="default" w:ascii="Times New Roman" w:hAnsi="Times New Roman" w:cs="Times New Roman"/>
          <w:szCs w:val="32"/>
        </w:rPr>
        <w:t>。坚持弘扬主旋律、引领新风尚、传播正能量，实施青年文化精品项目带动计划。鼓励青年文艺工作者立足太仓特色开展文艺创作，推出一批讲述太仓故事、表达太仓城市精神的文化精品。统筹推进宣传文化旅游领域青年人才梯队建设，持续培育宣传文化旅游领域青年创业团队、重点人才和青年拔尖人才，为文化精品创作和文旅产业发展提供持续的人才动能。做好青年网络文化繁荣工作，打造具有太仓影响力的青年网络新媒体产品展播平台。鼓励青年在微短剧、微电影、短视频、动漫游戏、网络创作等方面进行内容创新，保护网络文化知识产权，形成网络文化创造的太仓品牌。依托“光影汇仓”影视品牌，为太仓影视创作提供全链条支撑，助力“影视+文旅”深度融合。支持开发“娄东文创”系列，将娄东画派的艺术元素应用于青年喜爱的服饰、文具、数码产品中，实现城市文化价值的创造性转化。</w:t>
      </w:r>
    </w:p>
    <w:p w14:paraId="2116804A">
      <w:pPr>
        <w:ind w:firstLine="616"/>
        <w:rPr>
          <w:rFonts w:hint="default" w:ascii="Times New Roman" w:hAnsi="Times New Roman" w:cs="Times New Roman"/>
          <w:szCs w:val="32"/>
        </w:rPr>
      </w:pPr>
      <w:r>
        <w:rPr>
          <w:rFonts w:hint="default" w:ascii="Times New Roman" w:hAnsi="Times New Roman" w:cs="Times New Roman"/>
          <w:szCs w:val="32"/>
        </w:rPr>
        <w:t xml:space="preserve">3. </w:t>
      </w:r>
      <w:r>
        <w:rPr>
          <w:rFonts w:hint="default" w:ascii="Times New Roman" w:hAnsi="Times New Roman" w:cs="Times New Roman"/>
          <w:b/>
          <w:bCs/>
          <w:szCs w:val="32"/>
        </w:rPr>
        <w:t>构建青年文化体验场景</w:t>
      </w:r>
      <w:r>
        <w:rPr>
          <w:rFonts w:hint="default" w:ascii="Times New Roman" w:hAnsi="Times New Roman" w:cs="Times New Roman"/>
          <w:szCs w:val="32"/>
        </w:rPr>
        <w:t>。加快构建全年度青年文化活动体系，形成“日常有活动、季度有亮点、年度有品牌”的活动格局，打造“太仓好Young的”城市名片。深入挖掘娄东文化、江南文化时代价值，推进非遗技艺与现代设计、数字技术深度融合。开展“城市青年创变计划”，鼓励青年围绕社区治理、文化传承、生态环保等领域自主策划并实施小微项目。推动博物馆、图书馆、文化馆、美术馆、江南丝竹馆等公共文化场馆进行适旅化改造和智慧化升级。构建太仓公共数字文化信息资源库群，探索交互式、沉浸式等新型公共文化服务方式。</w:t>
      </w:r>
    </w:p>
    <w:p w14:paraId="77445C1D">
      <w:pPr>
        <w:pStyle w:val="2"/>
        <w:spacing w:line="580" w:lineRule="exact"/>
        <w:ind w:firstLine="616"/>
        <w:rPr>
          <w:rFonts w:hint="default" w:ascii="Times New Roman" w:hAnsi="Times New Roman" w:cs="Times New Roman"/>
        </w:rPr>
      </w:pPr>
      <w:bookmarkStart w:id="14" w:name="_Toc13039"/>
      <w:r>
        <w:rPr>
          <w:rFonts w:hint="default" w:ascii="Times New Roman" w:hAnsi="Times New Roman" w:cs="Times New Roman"/>
        </w:rPr>
        <w:t>四、建设智造创新青年乐业之城</w:t>
      </w:r>
      <w:bookmarkEnd w:id="14"/>
    </w:p>
    <w:p w14:paraId="148EBE72">
      <w:pPr>
        <w:widowControl/>
        <w:ind w:firstLine="616"/>
        <w:outlineLvl w:val="1"/>
        <w:rPr>
          <w:rFonts w:hint="default" w:ascii="Times New Roman" w:hAnsi="Times New Roman" w:eastAsia="楷体_GB2312" w:cs="Times New Roman"/>
          <w:szCs w:val="32"/>
        </w:rPr>
      </w:pPr>
      <w:bookmarkStart w:id="15" w:name="_Toc24352"/>
      <w:r>
        <w:rPr>
          <w:rFonts w:hint="default" w:ascii="Times New Roman" w:hAnsi="Times New Roman" w:eastAsia="楷体_GB2312" w:cs="Times New Roman"/>
          <w:szCs w:val="32"/>
        </w:rPr>
        <w:t>（一）优化青年施展才华就业环境</w:t>
      </w:r>
      <w:bookmarkEnd w:id="15"/>
    </w:p>
    <w:p w14:paraId="432CE345">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提升产业与青年发展匹配度</w:t>
      </w:r>
      <w:r>
        <w:rPr>
          <w:rFonts w:hint="default" w:ascii="Times New Roman" w:hAnsi="Times New Roman" w:cs="Times New Roman"/>
          <w:szCs w:val="32"/>
        </w:rPr>
        <w:t>。实施产业青年化发展计划，着力推动高端装备、先进材料、现代物贸等产业链向研发设计、品牌运营、供应链管理等高附加值环节延伸。建立健全项目引才评价机制，将吸纳高质量就业情况纳入各镇区项目引进核心评价体系。重点引进和培育一批“科技大厂”及高成长性就业带动型企业，着力扩大高质量就业岗位供给。深入实施“项目+人才”协同培育计划，支持青年人才申报各级人才、科技计划。健全青年人才奖补体系，完善生活补贴、薪酬补贴、贡献奖励等全周期人才成长阶段奖补机制，充分激发青年人才干事创业积极性。</w:t>
      </w:r>
      <w:bookmarkStart w:id="16" w:name="_Hlk213168148"/>
    </w:p>
    <w:p w14:paraId="2C17AF53">
      <w:pPr>
        <w:ind w:firstLine="616"/>
        <w:rPr>
          <w:rFonts w:hint="default" w:ascii="Times New Roman" w:hAnsi="Times New Roman" w:cs="Times New Roman"/>
          <w:szCs w:val="32"/>
        </w:rPr>
      </w:pPr>
      <w:r>
        <w:rPr>
          <w:rFonts w:hint="default" w:ascii="Times New Roman" w:hAnsi="Times New Roman" w:cs="Times New Roman"/>
          <w:szCs w:val="32"/>
        </w:rPr>
        <w:t>2.</w:t>
      </w:r>
      <w:bookmarkEnd w:id="16"/>
      <w:r>
        <w:rPr>
          <w:rFonts w:hint="default" w:ascii="Times New Roman" w:hAnsi="Times New Roman" w:cs="Times New Roman"/>
          <w:szCs w:val="32"/>
        </w:rPr>
        <w:t xml:space="preserve"> </w:t>
      </w:r>
      <w:r>
        <w:rPr>
          <w:rFonts w:hint="default" w:ascii="Times New Roman" w:hAnsi="Times New Roman" w:cs="Times New Roman"/>
          <w:b/>
          <w:bCs/>
          <w:szCs w:val="32"/>
        </w:rPr>
        <w:t>完善青年就业保障政策</w:t>
      </w:r>
      <w:r>
        <w:rPr>
          <w:rFonts w:hint="default" w:ascii="Times New Roman" w:hAnsi="Times New Roman" w:cs="Times New Roman"/>
          <w:szCs w:val="32"/>
        </w:rPr>
        <w:t>。坚持把青年就业特别是高校毕业生就业摆在更加突出位置，优化完善人才政策体系，将政策覆盖范围从高学历人才向职业技术人才延伸拓展，建立覆盖各类青年群体的全方位人才支持政策，构建“学历+技能”双轨并重的青年人才引育格局。探索推进“青年友好型企业”建设，全面摸排专精特新企业、潜在独角兽企业、国有企业、产业链知名企业等重点企业引才需求，精准匹配落实“稳岗返还补贴”“一次性扩岗补助”等政策，用好就业补助资金，进一步扩大“免申即享”范围，推动资金与政策直达快享。</w:t>
      </w:r>
    </w:p>
    <w:p w14:paraId="23ADD427">
      <w:pPr>
        <w:ind w:firstLine="616"/>
        <w:rPr>
          <w:rFonts w:hint="default" w:ascii="Times New Roman" w:hAnsi="Times New Roman" w:cs="Times New Roman"/>
          <w:szCs w:val="32"/>
        </w:rPr>
      </w:pPr>
      <w:r>
        <w:rPr>
          <w:rFonts w:hint="default" w:ascii="Times New Roman" w:hAnsi="Times New Roman" w:eastAsia="楷体_GB2312" w:cs="Times New Roman"/>
          <w:szCs w:val="32"/>
        </w:rPr>
        <w:t xml:space="preserve">3. </w:t>
      </w:r>
      <w:r>
        <w:rPr>
          <w:rFonts w:hint="default" w:ascii="Times New Roman" w:hAnsi="Times New Roman" w:cs="Times New Roman"/>
          <w:b/>
          <w:bCs/>
          <w:szCs w:val="32"/>
        </w:rPr>
        <w:t>推进高校毕业生就业服务</w:t>
      </w:r>
      <w:r>
        <w:rPr>
          <w:rFonts w:hint="default" w:ascii="Times New Roman" w:hAnsi="Times New Roman" w:cs="Times New Roman"/>
          <w:szCs w:val="32"/>
        </w:rPr>
        <w:t>。全面落实离校未就业高校毕业生实名登记制度，大力开展职业指导、岗位推介、见习培训、创业扶持等“一站式”公共服务。加大就业实习见习支持力度，积极打造校地共建的实训实践基地。依托“乐就太仓”公共就业服务平台，持续强化青年群体就业帮扶力度，推动人岗精准匹配。深化“家门口就业一件事”工作体系建设，</w:t>
      </w:r>
      <w:r>
        <w:rPr>
          <w:rFonts w:hint="default" w:ascii="Times New Roman" w:hAnsi="Times New Roman" w:cs="Times New Roman"/>
          <w:color w:val="000000"/>
          <w:kern w:val="0"/>
          <w:szCs w:val="32"/>
        </w:rPr>
        <w:t>拓展太仓市就业帮扶服务资源协同</w:t>
      </w:r>
      <w:r>
        <w:rPr>
          <w:rFonts w:hint="default" w:ascii="Times New Roman" w:hAnsi="Times New Roman" w:cs="Times New Roman"/>
          <w:szCs w:val="32"/>
        </w:rPr>
        <w:t>，联动开展专场招聘、技能培训等服务活动。做优青年就业“15分钟服务圈”，完善就业跟踪、就业指导、就业援助等服务保障体系。</w:t>
      </w:r>
    </w:p>
    <w:p w14:paraId="5EB09D34">
      <w:pPr>
        <w:ind w:firstLine="616"/>
        <w:rPr>
          <w:rFonts w:hint="default" w:ascii="Times New Roman" w:hAnsi="Times New Roman" w:cs="Times New Roman"/>
          <w:szCs w:val="32"/>
        </w:rPr>
      </w:pPr>
      <w:r>
        <w:rPr>
          <w:rFonts w:hint="default" w:ascii="Times New Roman" w:hAnsi="Times New Roman" w:cs="Times New Roman"/>
          <w:szCs w:val="32"/>
        </w:rPr>
        <w:t xml:space="preserve">4. </w:t>
      </w:r>
      <w:r>
        <w:rPr>
          <w:rFonts w:hint="default" w:ascii="Times New Roman" w:hAnsi="Times New Roman" w:cs="Times New Roman"/>
          <w:b/>
          <w:bCs/>
          <w:szCs w:val="32"/>
        </w:rPr>
        <w:t>强化职业技能人才培养</w:t>
      </w:r>
      <w:r>
        <w:rPr>
          <w:rFonts w:hint="default" w:ascii="Times New Roman" w:hAnsi="Times New Roman" w:cs="Times New Roman"/>
          <w:szCs w:val="32"/>
        </w:rPr>
        <w:t>。加快推进高技能人才专项公共实训基地布局建设，实施“技能照亮前程”培训行动，加快创新型、应用型、技能型青年培养。深化中德职业资格比照认定成果应用，围绕“领域扩大、企业扩面、人员扩容”总体要求，推动认定结果在企业用人、青年求职中充分发挥效用。加强职业院校校企合作，支持中德产教融合产业园面向社会提供技能培训和等级认定服务，推动更多外商在太独资设立培训机构，共同推进人才培养模式创新，提升青年技能人才素质。</w:t>
      </w:r>
    </w:p>
    <w:p w14:paraId="388BC735">
      <w:pPr>
        <w:ind w:firstLine="616"/>
        <w:rPr>
          <w:rFonts w:hint="default" w:ascii="Times New Roman" w:hAnsi="Times New Roman" w:cs="Times New Roman"/>
          <w:szCs w:val="32"/>
        </w:rPr>
      </w:pPr>
      <w:r>
        <w:rPr>
          <w:rFonts w:hint="default" w:ascii="Times New Roman" w:hAnsi="Times New Roman" w:cs="Times New Roman"/>
          <w:szCs w:val="32"/>
        </w:rPr>
        <w:t xml:space="preserve">5. </w:t>
      </w:r>
      <w:r>
        <w:rPr>
          <w:rFonts w:hint="default" w:ascii="Times New Roman" w:hAnsi="Times New Roman" w:cs="Times New Roman"/>
          <w:b/>
          <w:bCs/>
          <w:szCs w:val="32"/>
        </w:rPr>
        <w:t>扶持多元灵活就业形态</w:t>
      </w:r>
      <w:r>
        <w:rPr>
          <w:rFonts w:hint="default" w:ascii="Times New Roman" w:hAnsi="Times New Roman" w:cs="Times New Roman"/>
          <w:szCs w:val="32"/>
        </w:rPr>
        <w:t>。支持青年通过新经济新业态实现灵活就业、弹性工作、兼职兼业等多元化就业，推动线上线下就业服务的有效对接。大力开发适合青年灵活就业的岗位，支持规范发展新就业形态，完善零工市场、“家门口”就业服务站和村（社区）劳动保障服务站体系建设。鼓励支持青年到城乡基层、民营企业就业。引导农村青年参与乡村旅游等富民产业，鼓励以民宅改造等方式参与农文旅项目，实现家门口就业。鼓励村级劳务合作社积极吸纳农村青年劳动力，优先承接农村环境整治、生态旅游、物业管理等乡村建设小微工程。</w:t>
      </w:r>
    </w:p>
    <w:p w14:paraId="656604A2">
      <w:pPr>
        <w:spacing w:line="558" w:lineRule="exact"/>
        <w:ind w:firstLine="616"/>
        <w:rPr>
          <w:rFonts w:hint="default" w:ascii="Times New Roman" w:hAnsi="Times New Roman" w:cs="Times New Roman"/>
          <w:szCs w:val="32"/>
        </w:rPr>
      </w:pPr>
      <w:r>
        <w:rPr>
          <w:rFonts w:hint="default" w:ascii="Times New Roman" w:hAnsi="Times New Roman" w:cs="Times New Roman"/>
          <w:szCs w:val="32"/>
        </w:rPr>
        <w:t xml:space="preserve">6. </w:t>
      </w:r>
      <w:r>
        <w:rPr>
          <w:rFonts w:hint="default" w:ascii="Times New Roman" w:hAnsi="Times New Roman" w:cs="Times New Roman"/>
          <w:b/>
          <w:bCs/>
          <w:szCs w:val="32"/>
        </w:rPr>
        <w:t>加强重点群体就业援助</w:t>
      </w:r>
      <w:r>
        <w:rPr>
          <w:rFonts w:hint="default" w:ascii="Times New Roman" w:hAnsi="Times New Roman" w:cs="Times New Roman"/>
          <w:szCs w:val="32"/>
        </w:rPr>
        <w:t>。深化低收入农户子女、青年失业人员、退役士兵和残疾青年等重点群体就业援助行动。强化低收入人口、残疾人、特困职工家庭、零就业家庭、长期失业人员等五类困难群体就业援助，持续开展“就业帮扶专项行动”，确保零就业家庭动态清零。联合市级和区镇共同发力，加快岗位开发、加强人员排摸、开展精准对接、优化经办流程，提升公益性岗位新安置青年就业困难人员保障力度。</w:t>
      </w:r>
    </w:p>
    <w:p w14:paraId="15CCA687">
      <w:pPr>
        <w:spacing w:line="558" w:lineRule="exact"/>
        <w:ind w:firstLine="616"/>
        <w:rPr>
          <w:rFonts w:hint="default" w:ascii="Times New Roman" w:hAnsi="Times New Roman" w:cs="Times New Roman"/>
          <w:szCs w:val="32"/>
        </w:rPr>
      </w:pPr>
      <w:r>
        <w:rPr>
          <w:rFonts w:hint="default" w:ascii="Times New Roman" w:hAnsi="Times New Roman" w:cs="Times New Roman"/>
          <w:szCs w:val="32"/>
        </w:rPr>
        <w:t xml:space="preserve">7. </w:t>
      </w:r>
      <w:r>
        <w:rPr>
          <w:rFonts w:hint="default" w:ascii="Times New Roman" w:hAnsi="Times New Roman" w:cs="Times New Roman"/>
          <w:b/>
          <w:bCs/>
          <w:szCs w:val="32"/>
        </w:rPr>
        <w:t>筑牢青年就业权益保障</w:t>
      </w:r>
      <w:r>
        <w:rPr>
          <w:rFonts w:hint="default" w:ascii="Times New Roman" w:hAnsi="Times New Roman" w:cs="Times New Roman"/>
          <w:szCs w:val="32"/>
        </w:rPr>
        <w:t>。完善青年就业、劳动保障权益保护机制，加大劳动保障监察执法、劳动人事争议调解仲裁诉讼、安全生产监管检查工作力度。加强人力资源市场监管，规范招人用人制度，营造公平就业环境。构建就业宏微观形势的跟踪机制和预警机制，加强就业政策与财政、税收、金融、产业、贸易等宏观经济政策的衔接配套、统筹协调，形成经济增长和就业提质的良性互动。</w:t>
      </w:r>
    </w:p>
    <w:p w14:paraId="671D3D31">
      <w:pPr>
        <w:spacing w:line="558" w:lineRule="exact"/>
        <w:ind w:firstLine="616"/>
        <w:rPr>
          <w:rFonts w:hint="default" w:ascii="Times New Roman" w:hAnsi="Times New Roman" w:cs="Times New Roman"/>
          <w:szCs w:val="32"/>
        </w:rPr>
      </w:pPr>
      <w:r>
        <w:rPr>
          <w:rFonts w:hint="default" w:ascii="Times New Roman" w:hAnsi="Times New Roman" w:cs="Times New Roman"/>
          <w:szCs w:val="32"/>
        </w:rPr>
        <w:t xml:space="preserve">8. </w:t>
      </w:r>
      <w:r>
        <w:rPr>
          <w:rFonts w:hint="default" w:ascii="Times New Roman" w:hAnsi="Times New Roman" w:cs="Times New Roman"/>
          <w:b/>
          <w:bCs/>
          <w:szCs w:val="32"/>
        </w:rPr>
        <w:t>强化多元引才渠道布局</w:t>
      </w:r>
      <w:r>
        <w:rPr>
          <w:rFonts w:hint="default" w:ascii="Times New Roman" w:hAnsi="Times New Roman" w:cs="Times New Roman"/>
          <w:szCs w:val="32"/>
        </w:rPr>
        <w:t>。抢抓春招、秋招关键节点，深入豫皖、东北等地区核心生源地普通本科院校，错位开展特色引才活动，吸引本科及以上应届毕业生来太就业。精准对接中西部职业教育资源富集地区，以特色化技能人才招聘与城市宣介活动引进技能人才。</w:t>
      </w:r>
      <w:r>
        <w:rPr>
          <w:rFonts w:hint="default" w:ascii="Times New Roman" w:hAnsi="Times New Roman" w:cs="Times New Roman"/>
          <w:szCs w:val="32"/>
          <w:lang w:val="en-US" w:eastAsia="zh-CN"/>
        </w:rPr>
        <w:t>依托</w:t>
      </w:r>
      <w:r>
        <w:rPr>
          <w:rFonts w:hint="default" w:ascii="Times New Roman" w:hAnsi="Times New Roman" w:cs="Times New Roman"/>
          <w:szCs w:val="32"/>
        </w:rPr>
        <w:t>太仓对德对欧合作优势，深化与弗劳恩霍夫协会、斯图加特学联、杜塞尔多夫学联等组织的合作交流，导入海外优质人才资源。充分发挥临沪区位优势，完善沪上引才专项政策，吸引沪上优秀青年人才落户太仓。加强与上海、深圳等地知名引才猎聘机构合作，积极导入市场化资源，开展高端人才猎聘，引进海内外“高精尖缺”人才。深入开展“金仓寻穗”“青雁归仓”行动，发挥太仓籍大学生驻外团工委作用，联动高校团组织、校友会、本土乡贤，探索组建“太仓籍学子联盟”，提升太仓籍学子“回太率”。</w:t>
      </w:r>
    </w:p>
    <w:p w14:paraId="67C16AD2">
      <w:pPr>
        <w:widowControl/>
        <w:ind w:firstLine="616"/>
        <w:outlineLvl w:val="1"/>
        <w:rPr>
          <w:rFonts w:hint="default" w:ascii="Times New Roman" w:hAnsi="Times New Roman" w:eastAsia="楷体_GB2312" w:cs="Times New Roman"/>
          <w:szCs w:val="32"/>
        </w:rPr>
      </w:pPr>
      <w:bookmarkStart w:id="17" w:name="_Toc30222"/>
      <w:r>
        <w:rPr>
          <w:rFonts w:hint="default" w:ascii="Times New Roman" w:hAnsi="Times New Roman" w:eastAsia="楷体_GB2312" w:cs="Times New Roman"/>
          <w:szCs w:val="32"/>
        </w:rPr>
        <w:t>（二）激励青年投身创新创业热潮</w:t>
      </w:r>
      <w:bookmarkEnd w:id="17"/>
    </w:p>
    <w:p w14:paraId="022BFB52">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完善青年创业服务体系</w:t>
      </w:r>
      <w:r>
        <w:rPr>
          <w:rFonts w:hint="default" w:ascii="Times New Roman" w:hAnsi="Times New Roman" w:cs="Times New Roman"/>
          <w:szCs w:val="32"/>
        </w:rPr>
        <w:t>。做好大学生、青年科研人员、返乡创业青年、留学回国创业青年等重点群体的创业服务工作，构建多层次、社会化、专业化的青年创业服务体系。依托大学生创业园、浦创汇等现有载体，选聘优秀企业家、投资人、高校教师等担任青创导师，推出“青创课堂”系列讲座。充实“青年创业者导师团”队伍，为青年创业者提供智力支持、成长服务、资源链接。搭建青年创业项目展示和资源对接平台，促进更多创业项目在太落地转化。完善孵化载体与特色产业园区联动机制，支持在孵优秀青年创业项目优先入驻专业园区接续孵化，提供场地、资金等综合扶持，推动园区、校区、社区资源互联互通，加快形成创业服务协同网络。着力培育服务青年创业的社会组织，建设专业化的服务队伍和服务机构。</w:t>
      </w:r>
    </w:p>
    <w:p w14:paraId="6C552405">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强化青年创业载体建设</w:t>
      </w:r>
      <w:r>
        <w:rPr>
          <w:rFonts w:hint="default" w:ascii="Times New Roman" w:hAnsi="Times New Roman" w:cs="Times New Roman"/>
          <w:szCs w:val="32"/>
        </w:rPr>
        <w:t>。高质量举办系列青年创新创业大赛，持续放大“吴健雄品牌”效应，打造“创赢太仓”“科创太仓”“青创太仓”等引才赛事矩阵，吸引、培育和选树一批青年创新创业人才。加快推进创新创业基地载体建设，加强太仓市大学生创业园、太仓智汇谷·科技创新园、浦创汇等青年创业平台建设。鼓励培育更多小微企业创业创新基地、示范性孵化载体，开展“特色创业型社区”创建和评比工作。联合高校建立创业指导站，重点扶持大学生创业项目。加快打造“一核双园多区”OPC社区矩阵，强化全生命周期服务供给，建设AI算力平台、OPC公共服务平台、OPC共享赋能平台，聚集OPC人才，打造开放式创新创业生态社区。</w:t>
      </w:r>
    </w:p>
    <w:p w14:paraId="1953CC9B">
      <w:pPr>
        <w:ind w:firstLine="616"/>
        <w:rPr>
          <w:rFonts w:hint="default" w:ascii="Times New Roman" w:hAnsi="Times New Roman" w:cs="Times New Roman"/>
          <w:szCs w:val="32"/>
        </w:rPr>
      </w:pPr>
      <w:r>
        <w:rPr>
          <w:rFonts w:hint="default" w:ascii="Times New Roman" w:hAnsi="Times New Roman" w:cs="Times New Roman"/>
          <w:szCs w:val="32"/>
        </w:rPr>
        <w:t xml:space="preserve">3. </w:t>
      </w:r>
      <w:r>
        <w:rPr>
          <w:rFonts w:hint="default" w:ascii="Times New Roman" w:hAnsi="Times New Roman" w:cs="Times New Roman"/>
          <w:b/>
          <w:bCs/>
          <w:szCs w:val="32"/>
        </w:rPr>
        <w:t>优化青年创业政策保障</w:t>
      </w:r>
      <w:r>
        <w:rPr>
          <w:rFonts w:hint="default" w:ascii="Times New Roman" w:hAnsi="Times New Roman" w:cs="Times New Roman"/>
          <w:szCs w:val="32"/>
        </w:rPr>
        <w:t>。完善青年创业政策保障体系，进一步发挥好求职创业补贴、一次性创业补贴、创业场地租金补贴、创业孵化示范基地考核补贴等政策工具。管好用好富民创业担保贷款，合理增加补贴资金投入，扩大担保资金规模，为符合条件的青年群体创业提供融资支持。拓展“娄城贷”系列政府增信产品覆盖范围，发挥天使投资基金、航空航天产业基金等直投基金“投早、投小、投长期、投硬科技”作用，支持青年初创企业发展。</w:t>
      </w:r>
    </w:p>
    <w:p w14:paraId="3EDD195F">
      <w:pPr>
        <w:pStyle w:val="2"/>
        <w:spacing w:line="580" w:lineRule="exact"/>
        <w:ind w:firstLine="616"/>
        <w:rPr>
          <w:rFonts w:hint="default" w:ascii="Times New Roman" w:hAnsi="Times New Roman" w:cs="Times New Roman"/>
        </w:rPr>
      </w:pPr>
      <w:bookmarkStart w:id="18" w:name="_Toc6195"/>
      <w:r>
        <w:rPr>
          <w:rFonts w:hint="default" w:ascii="Times New Roman" w:hAnsi="Times New Roman" w:cs="Times New Roman"/>
        </w:rPr>
        <w:t>五、建设育青护苗青年成长之城</w:t>
      </w:r>
      <w:bookmarkEnd w:id="18"/>
    </w:p>
    <w:p w14:paraId="43231ACB">
      <w:pPr>
        <w:widowControl/>
        <w:ind w:firstLine="616"/>
        <w:outlineLvl w:val="1"/>
        <w:rPr>
          <w:rFonts w:hint="default" w:ascii="Times New Roman" w:hAnsi="Times New Roman" w:eastAsia="楷体_GB2312" w:cs="Times New Roman"/>
          <w:szCs w:val="32"/>
        </w:rPr>
      </w:pPr>
      <w:bookmarkStart w:id="19" w:name="_Toc4258"/>
      <w:r>
        <w:rPr>
          <w:rFonts w:hint="default" w:ascii="Times New Roman" w:hAnsi="Times New Roman" w:eastAsia="楷体_GB2312" w:cs="Times New Roman"/>
          <w:szCs w:val="32"/>
        </w:rPr>
        <w:t>（一）筑牢青年教育成才基石</w:t>
      </w:r>
      <w:bookmarkEnd w:id="19"/>
    </w:p>
    <w:p w14:paraId="34C7A9F3">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提高学校育人质量</w:t>
      </w:r>
      <w:r>
        <w:rPr>
          <w:rFonts w:hint="default" w:ascii="Times New Roman" w:hAnsi="Times New Roman" w:cs="Times New Roman"/>
          <w:szCs w:val="32"/>
        </w:rPr>
        <w:t>。坚持“三全育人”“五育并举”，进一步加强思想道德建设、劳动实践教育和体卫艺教育，全面推进德育新时空品牌建设。深化教育教学改革，强化差异化教学和个别化指导，满足不同兴趣特质青年学生的个性化需求，提升青年学生适应新经济形态和科技发展趋势的整体素质水平。加强课题体系建设，加大思维启发类、技能培训类特色课程的开发和供给力度。创新太仓本土青年教师培养模式，加快构建“市级统筹规划、集团集群培养、校级研修提升”三级培育体系，通过“以评促考”“以赛代考”等创新模式，系统优化青年教师培训课程、培养路径及保障机制。统筹推进教育领域青年人才梯队建设，持续培育教育领域青年拔尖人才，为太仓教育高质量发展提供人才支撑。加强具备开阔创新思维、前沿教育理念和丰富教学经验的优质师资力量配备。持续提升职业教育办学质量，推进中职、高职、应用型本科教育分段培养、联合培养。深入开展文明校园、绿色校园创建，创造和谐优美校园环境。依法规范校外培训机构发展，切实减轻学生课外负担。</w:t>
      </w:r>
    </w:p>
    <w:p w14:paraId="6ACF9EB3">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优化教育资源配置</w:t>
      </w:r>
      <w:r>
        <w:rPr>
          <w:rFonts w:hint="default" w:ascii="Times New Roman" w:hAnsi="Times New Roman" w:cs="Times New Roman"/>
          <w:szCs w:val="32"/>
        </w:rPr>
        <w:t>。实施义务教育优质资源创建提升工程和高中优质资源扩容工程，推进高新区初中扩建，扩增青年子女就学名额。完善入学政策，提高公办学校随迁子女吸收率，保障青年职工子女平等享受基本公共教育服务。统筹城乡教师队伍建设，促进师资均衡配置，推动普通校、边远校、新建校、民办校协同发展，为青年子女提供公平的教育条件。办好特殊教育，保障青年子女中特殊群体的受教育权利。</w:t>
      </w:r>
    </w:p>
    <w:p w14:paraId="3A08278C">
      <w:pPr>
        <w:ind w:firstLine="616"/>
        <w:rPr>
          <w:rFonts w:hint="default" w:ascii="Times New Roman" w:hAnsi="Times New Roman" w:cs="Times New Roman"/>
          <w:szCs w:val="32"/>
        </w:rPr>
      </w:pPr>
      <w:r>
        <w:rPr>
          <w:rFonts w:hint="default" w:ascii="Times New Roman" w:hAnsi="Times New Roman" w:cs="Times New Roman"/>
          <w:szCs w:val="32"/>
        </w:rPr>
        <w:t xml:space="preserve">3. </w:t>
      </w:r>
      <w:r>
        <w:rPr>
          <w:rFonts w:hint="default" w:ascii="Times New Roman" w:hAnsi="Times New Roman" w:cs="Times New Roman"/>
          <w:b/>
          <w:bCs/>
          <w:szCs w:val="32"/>
        </w:rPr>
        <w:t>加强现代职业教育</w:t>
      </w:r>
      <w:r>
        <w:rPr>
          <w:rFonts w:hint="default" w:ascii="Times New Roman" w:hAnsi="Times New Roman" w:cs="Times New Roman"/>
          <w:szCs w:val="32"/>
        </w:rPr>
        <w:t>。引导职业院校优化专业布局，紧密对接太仓产业需求和技术变革趋势，优先发展高端装备、生物医药等新兴专业。制定技能人才专项政策，办好各类职业技能大赛，鼓励在太高校院所与企业共建未来技术学院、现代产业学院和专业特色学院，提高技能人才培养质量。持续深化太仓双元制教育本土化及高端制造人才培养创新，深化中德双元制“太仓模式”的创新实践与推广，完善中德职业资格比照认定，鼓励各类所有制企业深度参与“产业人才定制班”建设。支持AHK等行业组织进一步提升校企合作服务能力，持续推动AHK学院、中德职教产业园建设。深化职普横向融通，支持中等职业学校与普通高中在课程、教材、师资、教研等方面合作互通。加快推动技能型社会建设，持续开展职业技能提升培训，为产业发展提供人才服务支撑。</w:t>
      </w:r>
    </w:p>
    <w:p w14:paraId="65E1FCB3">
      <w:pPr>
        <w:ind w:firstLine="616"/>
        <w:rPr>
          <w:rFonts w:hint="default" w:ascii="Times New Roman" w:hAnsi="Times New Roman" w:cs="Times New Roman"/>
          <w:szCs w:val="32"/>
        </w:rPr>
      </w:pPr>
      <w:r>
        <w:rPr>
          <w:rFonts w:hint="default" w:ascii="Times New Roman" w:hAnsi="Times New Roman" w:cs="Times New Roman"/>
          <w:szCs w:val="32"/>
        </w:rPr>
        <w:t xml:space="preserve">4. </w:t>
      </w:r>
      <w:r>
        <w:rPr>
          <w:rFonts w:hint="default" w:ascii="Times New Roman" w:hAnsi="Times New Roman" w:cs="Times New Roman"/>
          <w:b/>
          <w:bCs/>
          <w:szCs w:val="32"/>
        </w:rPr>
        <w:t>促进青年终身学习</w:t>
      </w:r>
      <w:r>
        <w:rPr>
          <w:rFonts w:hint="default" w:ascii="Times New Roman" w:hAnsi="Times New Roman" w:cs="Times New Roman"/>
          <w:szCs w:val="32"/>
        </w:rPr>
        <w:t>。强化家庭教育基础作用，完善家庭教育指导服务体系建设，推动各村（社区）家长学校以家庭教育指导服务站点为抓手，对接辖区内学校、幼儿园等教育单位或机构资源，加强校家社协同，为家庭提供切实有效的社区家庭教育指导与服务。增加青年教育公共服务供给，推进教育信息化，大力发展在线教育、远程教育，培养青年终身学习的意识和习惯。完善终身教育体系和学习培训体系，加大政府扶持和政府购买服务力度，鼓励各级各类学校、社区教育机构、学术团体、行业企业和各类培训机构开展继续教育。完善终身教育体系和学习体系，探索建立继续教育学分积累与转换制度，逐步实现不同类型学习成果的互认和衔接。</w:t>
      </w:r>
    </w:p>
    <w:p w14:paraId="29A84CE0">
      <w:pPr>
        <w:widowControl/>
        <w:ind w:firstLine="616"/>
        <w:outlineLvl w:val="1"/>
        <w:rPr>
          <w:rFonts w:hint="default" w:ascii="Times New Roman" w:hAnsi="Times New Roman" w:eastAsia="楷体_GB2312" w:cs="Times New Roman"/>
          <w:szCs w:val="32"/>
        </w:rPr>
      </w:pPr>
      <w:bookmarkStart w:id="20" w:name="_Toc4017"/>
      <w:r>
        <w:rPr>
          <w:rFonts w:hint="default" w:ascii="Times New Roman" w:hAnsi="Times New Roman" w:eastAsia="楷体_GB2312" w:cs="Times New Roman"/>
          <w:szCs w:val="32"/>
        </w:rPr>
        <w:t>（二）守护青年身心健康成长</w:t>
      </w:r>
      <w:bookmarkEnd w:id="20"/>
    </w:p>
    <w:p w14:paraId="3899EBCB">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提高青年体质健康水平</w:t>
      </w:r>
      <w:r>
        <w:rPr>
          <w:rFonts w:hint="default" w:ascii="Times New Roman" w:hAnsi="Times New Roman" w:cs="Times New Roman"/>
          <w:szCs w:val="32"/>
        </w:rPr>
        <w:t>。严格执行《国家体育锻炼标准》和《国家学生体质健康标准》，在学校教育中强化体质健康指标的硬约束。加强学校体育工作，全面提升体育教育质量，发挥学校体育考核评价体系的导向作用，保证体育课时和课外锻炼时间得到落实。持续做好青少年近视及脊柱侧弯筛查，加强跟踪管理，增强宣传教育，提升学生、家长、学校三方健康意识。开展学生口腔检查及窝沟封闭工作，预防窝沟龋齿，保护青少年牙齿健康。开展青少年健康自管小组活动，帮助青少年掌握常见病防治等健康知识，更好地实现自我保护。支持青年体育类社会组织发展，推进体育社团社会化、实体化改革，提升体育社会组织的自我运转能力。加强学校营养健康工作，制定出台学校膳食营养标准，重点降低和控制青少年营养不良、近视、龋齿、肥胖的发生率。</w:t>
      </w:r>
    </w:p>
    <w:p w14:paraId="03F789FD">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加强青年心理健康服务</w:t>
      </w:r>
      <w:r>
        <w:rPr>
          <w:rFonts w:hint="default" w:ascii="Times New Roman" w:hAnsi="Times New Roman" w:cs="Times New Roman"/>
          <w:szCs w:val="32"/>
        </w:rPr>
        <w:t>。注重加强对青年的人文关怀和心理疏导，培养良好心理素质和意志品质。统筹推进卫生领域青年人才梯队建设，持续培育卫生领域青年拔尖人才，加强青年医疗卫生专业人才队伍建设，为青年健康服务体系提供坚实人才保障。大力开展青年心理健康知识宣传普及活动，切实提升青年心理健康素养，增强青年自我调适能力与主动求助意愿。加强对不同青年群体社会心态和群体情绪的研究、管控和疏导，引导青年形成合理预期，主动防范和化解群体性社会风险，关注困境青年、残疾青年、来太青年、职场青年等重点群体的心理健康状况，联合多方力量提供心理健康援助服务。强化学校心理健康教育，在高校、职业学校、中小学和特殊教育学校普遍设置心理健康辅导咨询室。加强生命教育和青春期教育，促进学生身心和谐发展。用好“12356”“12355”24小时心理援助热线、青年社会工作机构、精神卫生机构等专业服务力量，建立健全健康教育、检测预警、咨询服务、干预处置“四位一体”青年心理健康工作体系。支持各级各类青年专业心理辅导机构和社会组织建设，大力培养青年心理辅导专业人才。</w:t>
      </w:r>
    </w:p>
    <w:p w14:paraId="4A756E13">
      <w:pPr>
        <w:widowControl/>
        <w:ind w:firstLine="616"/>
        <w:outlineLvl w:val="1"/>
        <w:rPr>
          <w:rFonts w:hint="default" w:ascii="Times New Roman" w:hAnsi="Times New Roman" w:eastAsia="楷体_GB2312" w:cs="Times New Roman"/>
          <w:szCs w:val="32"/>
        </w:rPr>
      </w:pPr>
      <w:bookmarkStart w:id="21" w:name="_Toc2723"/>
      <w:r>
        <w:rPr>
          <w:rFonts w:hint="default" w:ascii="Times New Roman" w:hAnsi="Times New Roman" w:eastAsia="楷体_GB2312" w:cs="Times New Roman"/>
          <w:szCs w:val="32"/>
        </w:rPr>
        <w:t>（三）织密青年权益保护网络</w:t>
      </w:r>
      <w:bookmarkEnd w:id="21"/>
    </w:p>
    <w:p w14:paraId="160CAD77">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夯实青少年法治宣传教育</w:t>
      </w:r>
      <w:r>
        <w:rPr>
          <w:rFonts w:hint="default" w:ascii="Times New Roman" w:hAnsi="Times New Roman" w:cs="Times New Roman"/>
          <w:szCs w:val="32"/>
        </w:rPr>
        <w:t>。全面贯彻实施有关青少年权益的法律法规、规章，切实保障青少年合法权益。推动习近平法治思想进校园，深入开展宪法及重点领域普法宣传教育，强化校园法治文化阵地建设与青春期教育。广泛动员和组织社会力量，开展法治和自护宣传教育，持续深化“青春偕行 筑梦飞扬”普法品牌，进一步完善政府、学校、社会、家庭共同参与的青少年法治自护教育格局。</w:t>
      </w:r>
      <w:r>
        <w:rPr>
          <w:rFonts w:hint="default" w:ascii="Times New Roman" w:hAnsi="Times New Roman" w:cs="Times New Roman"/>
          <w:szCs w:val="32"/>
          <w:lang w:val="en-US" w:eastAsia="zh-CN"/>
        </w:rPr>
        <w:t>深入</w:t>
      </w:r>
      <w:r>
        <w:rPr>
          <w:rFonts w:hint="default" w:ascii="Times New Roman" w:hAnsi="Times New Roman" w:cs="Times New Roman"/>
          <w:szCs w:val="32"/>
        </w:rPr>
        <w:t>实施青少年“学法护航”行动，推动“法护成长，呵护未来”未成年人法治守护项目落地落实。积极拓宽青少年沉浸式普法教育路径，充分利用各级各类法治宣传教育阵地和红色教育基地，促进普法学法与法治实践有机融合，形成“理论教育+基地展示+活动体验”于一体的太仓市青少年法治教育模式。</w:t>
      </w:r>
    </w:p>
    <w:p w14:paraId="7F676A8B">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健全青少年权益保护机制</w:t>
      </w:r>
      <w:r>
        <w:rPr>
          <w:rFonts w:hint="default" w:ascii="Times New Roman" w:hAnsi="Times New Roman" w:cs="Times New Roman"/>
          <w:szCs w:val="32"/>
        </w:rPr>
        <w:t>。尊重青年主体地位，主动关心青年发展状况，拓展青年权益表达渠道，及时解决青年急难愁盼问题。完善青少年“立体关护”服务体系和“12355”青少年权益维护工作机制建设，创造青少年身心成长发展的健康环境。进一步完善青少年权益保障网络，加强法律宣传和咨询服务，升级心理健康服务，拓展健康关爱领域，为青年提供全方位保障。持续深耕青少年法治护航品牌项目，常态化开展普法和安全自护引导，从源头防范青少年违法犯罪行为。加强对困难青年群体、来太务工青年及其未成年子女等群体的权益维护工作，高效解决青少年实现发展权益面临的现实困难和突出问题。加强青少年社工机构和社工人才队伍培育，深化行业对话交流，提升社工实务水平。健全未成年人行政保护与司法保护衔接机制，加强监护缺失、受到监护侵害的未成年人权益保护工作。</w:t>
      </w:r>
    </w:p>
    <w:p w14:paraId="3D6F5F2A">
      <w:pPr>
        <w:ind w:firstLine="616"/>
        <w:rPr>
          <w:rFonts w:hint="default" w:ascii="Times New Roman" w:hAnsi="Times New Roman" w:cs="Times New Roman"/>
          <w:szCs w:val="32"/>
        </w:rPr>
      </w:pPr>
      <w:r>
        <w:rPr>
          <w:rFonts w:hint="default" w:ascii="Times New Roman" w:hAnsi="Times New Roman" w:cs="Times New Roman"/>
          <w:szCs w:val="32"/>
        </w:rPr>
        <w:t xml:space="preserve">3. </w:t>
      </w:r>
      <w:r>
        <w:rPr>
          <w:rFonts w:hint="default" w:ascii="Times New Roman" w:hAnsi="Times New Roman" w:cs="Times New Roman"/>
          <w:b/>
          <w:bCs/>
          <w:szCs w:val="32"/>
        </w:rPr>
        <w:t>严打青少年权益侵害行为</w:t>
      </w:r>
      <w:r>
        <w:rPr>
          <w:rFonts w:hint="default" w:ascii="Times New Roman" w:hAnsi="Times New Roman" w:cs="Times New Roman"/>
          <w:szCs w:val="32"/>
        </w:rPr>
        <w:t>。严厉打击就业歧视、校园欺凌等行为，净化青少年成长环境，依法打击拐卖、性侵害、遗弃、虐待等侵害未成年人合法权益的违法犯罪行为。大力开展青少年禁毒工作，依法惩处涉及青少年的毒品违法犯罪活动。加大对青少年文化教育、消费者权益保护、校园周边食品安全、青少年用品质量抽检等市场监管力度，加强中小学校园综合治理，有效遏制校园欺凌、校园暴力等案（事）件发生。建立健全专门矫治教育体系，强化家庭监护和学校教育职责，完善司法机关内部工作衔接机制，推动建立未成年人帮教基地，创新未成年人帮教工作新模式，提升帮教工作社会参与度。教育矫治附条件不起诉、适用非监禁刑、特赦的未成年人以及强制隔离戒毒和其他刑满释放的青少年。面向社会组织购买未成年人帮教服务，探索异地化帮教机制，充分发挥青少年事务社会工作专业人才和社会工作服务机构作用。</w:t>
      </w:r>
    </w:p>
    <w:p w14:paraId="74A2B415">
      <w:pPr>
        <w:pStyle w:val="2"/>
        <w:spacing w:line="580" w:lineRule="exact"/>
        <w:ind w:firstLine="616"/>
        <w:rPr>
          <w:rFonts w:hint="default" w:ascii="Times New Roman" w:hAnsi="Times New Roman" w:cs="Times New Roman"/>
        </w:rPr>
      </w:pPr>
      <w:bookmarkStart w:id="22" w:name="_Toc24028"/>
      <w:r>
        <w:rPr>
          <w:rFonts w:hint="default" w:ascii="Times New Roman" w:hAnsi="Times New Roman" w:cs="Times New Roman"/>
        </w:rPr>
        <w:t>六、</w:t>
      </w:r>
      <w:bookmarkStart w:id="23" w:name="_Hlk213071613"/>
      <w:r>
        <w:rPr>
          <w:rFonts w:hint="default" w:ascii="Times New Roman" w:hAnsi="Times New Roman" w:cs="Times New Roman"/>
        </w:rPr>
        <w:t>建设品质生活青年乐享之城</w:t>
      </w:r>
      <w:bookmarkEnd w:id="22"/>
      <w:bookmarkEnd w:id="23"/>
    </w:p>
    <w:p w14:paraId="20E38410">
      <w:pPr>
        <w:widowControl/>
        <w:ind w:firstLine="616"/>
        <w:outlineLvl w:val="1"/>
        <w:rPr>
          <w:rFonts w:hint="default" w:ascii="Times New Roman" w:hAnsi="Times New Roman" w:eastAsia="楷体_GB2312" w:cs="Times New Roman"/>
          <w:szCs w:val="32"/>
        </w:rPr>
      </w:pPr>
      <w:bookmarkStart w:id="24" w:name="_Toc21172"/>
      <w:r>
        <w:rPr>
          <w:rFonts w:hint="default" w:ascii="Times New Roman" w:hAnsi="Times New Roman" w:eastAsia="楷体_GB2312" w:cs="Times New Roman"/>
          <w:szCs w:val="32"/>
        </w:rPr>
        <w:t>（一）托举青年安居宜居梦想</w:t>
      </w:r>
      <w:bookmarkEnd w:id="24"/>
    </w:p>
    <w:p w14:paraId="534E2C28">
      <w:pPr>
        <w:overflowPunct w:val="0"/>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保障青年基本住房需求</w:t>
      </w:r>
      <w:r>
        <w:rPr>
          <w:rFonts w:hint="default" w:ascii="Times New Roman" w:hAnsi="Times New Roman" w:cs="Times New Roman"/>
          <w:szCs w:val="32"/>
        </w:rPr>
        <w:t>。坚持“人到太仓就有房”工作理念，构建多层次、全覆盖的青年住房保障体系。优化青年人才驿站点位建设，深入拓展驿站社交、文化体验等综合服务，嵌入就业指导、创业导航、城市融入等功能，打造青年来太求职暖心“第一站”。聚焦技能人才“一张床”需求，全面摸清主城区产业园集宿区存量资源，依托“太仓市企业服务总入口”发布房源信息，提档升级生活配套设施。加快推进青年人才公寓建设，打造“职住平衡、功能齐全”的青年集聚阵地。优化人才公寓申请流程，降低准入门槛，推动住房保障体系向本科以下学历青年群体覆盖，兼顾灵活就业、自主创业的无房青年，扩大青年住房保障覆盖面。建立补贴动态调整机制，联动市场租金涨幅调整补贴标准。鼓励国有企业推出“以租换购”等措施，畅通“人才公寓租住—商品房购置”转化路径。深化灵活就业人员参加住房公积金制度试点，支持青年提取公积金支付房租、首付，降低青年购房门槛。探索建立租购并举的青年安居保障机制，逐步实现租购住房在公共服务上享受同等权利，让青年在太仓住有所居、居有所安。</w:t>
      </w:r>
    </w:p>
    <w:p w14:paraId="7900EC45">
      <w:pPr>
        <w:ind w:firstLine="616"/>
        <w:rPr>
          <w:rFonts w:hint="default" w:ascii="Times New Roman" w:hAnsi="Times New Roman" w:cs="Times New Roman"/>
          <w:szCs w:val="32"/>
        </w:rPr>
      </w:pPr>
      <w:r>
        <w:rPr>
          <w:rFonts w:hint="default" w:ascii="Times New Roman" w:hAnsi="Times New Roman" w:cs="Times New Roman"/>
          <w:szCs w:val="32"/>
        </w:rPr>
        <w:t>2.</w:t>
      </w:r>
      <w:bookmarkStart w:id="25" w:name="_Hlk213251670"/>
      <w:r>
        <w:rPr>
          <w:rFonts w:hint="default" w:ascii="Times New Roman" w:hAnsi="Times New Roman" w:cs="Times New Roman"/>
          <w:szCs w:val="32"/>
        </w:rPr>
        <w:t xml:space="preserve"> </w:t>
      </w:r>
      <w:r>
        <w:rPr>
          <w:rFonts w:hint="default" w:ascii="Times New Roman" w:hAnsi="Times New Roman" w:cs="Times New Roman"/>
          <w:b/>
          <w:bCs/>
          <w:szCs w:val="32"/>
        </w:rPr>
        <w:t>完善青年发展活力空间</w:t>
      </w:r>
      <w:r>
        <w:rPr>
          <w:rFonts w:hint="default" w:ascii="Times New Roman" w:hAnsi="Times New Roman" w:cs="Times New Roman"/>
          <w:szCs w:val="32"/>
        </w:rPr>
        <w:t>。总结推广青年人才社区“一张床、一间房、一套房”试点经验，优化青年人才社区布局，加快建设一批“最懂年轻人”的“五有”青年社区。充分挖掘社区闲置用房、样板房等空间资源，重点打造一批可满足青年人才自我提升、文化娱乐、社交需求的青年共享空间，培育一批社区主理人，引导更多青年积极参加社群活动、投身社区公益、参与城市建设。加快现代社区建设，推进城市社区单元优化提升，统筹规划建设适合青年成长发展、社交互动、品质生活的青年主题社区和青年发展载体。扎实推进城乡一体化“10分钟体育健身圈”、体育公园及社区多功能运动场地建设。在功能体系构建方面，完善城市第三空间布局，结合不同区域分布特点和功能定位，合理规划增设休闲娱乐设施，注重功能差异化和品质提升，打造特色鲜明、功能互补的青年社交空间。围绕青年工作和生活需求，在城市公共设施中嵌入式打造兼具多种功能的青年之家、青年驿站等服务载体，构建全方位、多层次、可持续的青年发展空间。</w:t>
      </w:r>
    </w:p>
    <w:bookmarkEnd w:id="25"/>
    <w:p w14:paraId="337508EE">
      <w:pPr>
        <w:widowControl/>
        <w:ind w:firstLine="616"/>
        <w:outlineLvl w:val="1"/>
        <w:rPr>
          <w:rFonts w:hint="default" w:ascii="Times New Roman" w:hAnsi="Times New Roman" w:eastAsia="楷体_GB2312" w:cs="Times New Roman"/>
          <w:szCs w:val="32"/>
        </w:rPr>
      </w:pPr>
      <w:bookmarkStart w:id="26" w:name="_Toc14481"/>
      <w:r>
        <w:rPr>
          <w:rFonts w:hint="default" w:ascii="Times New Roman" w:hAnsi="Times New Roman" w:eastAsia="楷体_GB2312" w:cs="Times New Roman"/>
          <w:szCs w:val="32"/>
        </w:rPr>
        <w:t>（二）打造青年文旅消费高地</w:t>
      </w:r>
      <w:bookmarkEnd w:id="26"/>
    </w:p>
    <w:p w14:paraId="2BE461A9">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丰富青年文体生活场景</w:t>
      </w:r>
      <w:r>
        <w:rPr>
          <w:rFonts w:hint="default" w:ascii="Times New Roman" w:hAnsi="Times New Roman" w:cs="Times New Roman"/>
          <w:szCs w:val="32"/>
        </w:rPr>
        <w:t>。依托太仓阿尔卑斯国际度假区的冰雪运动资源，开发面向青年群体的滑雪培训、冰雪电音节、冬季极限运动挑战赛等特色产品，推动打造长三角青年冰雪运动首选目的地。结合沙溪古镇的江南水乡风貌，策划“古镇夜游”“汉服体验”“非遗手作工坊”等沉浸式文化体验项目，满足青年群体对传统文化创新表达的需求。利用玫瑰庄园、七十二家理想村等田园资源，开发露营、骑行、户外徒步、自然教育等新型休闲业态。支持在有条件的景区景点发展露营基地，打造“微度假”青年社交新场景。</w:t>
      </w:r>
      <w:r>
        <w:rPr>
          <w:rFonts w:hint="default" w:ascii="Times New Roman" w:hAnsi="Times New Roman" w:cs="Times New Roman"/>
          <w:szCs w:val="32"/>
          <w:lang w:val="en-US" w:eastAsia="zh-CN"/>
        </w:rPr>
        <w:t>升级</w:t>
      </w:r>
      <w:r>
        <w:rPr>
          <w:rFonts w:hint="default" w:ascii="Times New Roman" w:hAnsi="Times New Roman" w:cs="Times New Roman"/>
          <w:szCs w:val="32"/>
        </w:rPr>
        <w:t>“太仓文旅集团”智慧文旅总入口功能，</w:t>
      </w:r>
      <w:r>
        <w:rPr>
          <w:rFonts w:hint="default" w:ascii="Times New Roman" w:hAnsi="Times New Roman" w:cs="Times New Roman"/>
          <w:szCs w:val="32"/>
          <w:lang w:val="en-US" w:eastAsia="zh-CN"/>
        </w:rPr>
        <w:t>推动平台由传统信息发布载体向用户交互服务平台转型</w:t>
      </w:r>
      <w:r>
        <w:rPr>
          <w:rFonts w:hint="default" w:ascii="Times New Roman" w:hAnsi="Times New Roman" w:cs="Times New Roman"/>
          <w:szCs w:val="32"/>
        </w:rPr>
        <w:t>，</w:t>
      </w:r>
      <w:r>
        <w:rPr>
          <w:rFonts w:hint="default" w:ascii="Times New Roman" w:hAnsi="Times New Roman" w:cs="Times New Roman"/>
          <w:szCs w:val="32"/>
          <w:lang w:val="en-US" w:eastAsia="zh-CN"/>
        </w:rPr>
        <w:t>打通一键预约、服务购买等功能通道，强化用户服务体验</w:t>
      </w:r>
      <w:r>
        <w:rPr>
          <w:rFonts w:hint="default" w:ascii="Times New Roman" w:hAnsi="Times New Roman" w:cs="Times New Roman"/>
          <w:szCs w:val="32"/>
        </w:rPr>
        <w:t>。</w:t>
      </w:r>
    </w:p>
    <w:p w14:paraId="73836A02">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lang w:val="en-US" w:eastAsia="zh-CN"/>
        </w:rPr>
        <w:t>焕活</w:t>
      </w:r>
      <w:r>
        <w:rPr>
          <w:rFonts w:hint="default" w:ascii="Times New Roman" w:hAnsi="Times New Roman" w:cs="Times New Roman"/>
          <w:b/>
          <w:bCs/>
          <w:szCs w:val="32"/>
        </w:rPr>
        <w:t>青年</w:t>
      </w:r>
      <w:r>
        <w:rPr>
          <w:rFonts w:hint="default" w:ascii="Times New Roman" w:hAnsi="Times New Roman" w:cs="Times New Roman"/>
          <w:b/>
          <w:bCs/>
          <w:szCs w:val="32"/>
          <w:lang w:val="en-US" w:eastAsia="zh-CN"/>
        </w:rPr>
        <w:t>多元</w:t>
      </w:r>
      <w:r>
        <w:rPr>
          <w:rFonts w:hint="default" w:ascii="Times New Roman" w:hAnsi="Times New Roman" w:cs="Times New Roman"/>
          <w:b/>
          <w:bCs/>
          <w:szCs w:val="32"/>
        </w:rPr>
        <w:t>消费</w:t>
      </w:r>
      <w:r>
        <w:rPr>
          <w:rFonts w:hint="default" w:ascii="Times New Roman" w:hAnsi="Times New Roman" w:cs="Times New Roman"/>
          <w:b/>
          <w:bCs/>
          <w:szCs w:val="32"/>
          <w:lang w:val="en-US" w:eastAsia="zh-CN"/>
        </w:rPr>
        <w:t>空间</w:t>
      </w:r>
      <w:r>
        <w:rPr>
          <w:rFonts w:hint="default" w:ascii="Times New Roman" w:hAnsi="Times New Roman" w:cs="Times New Roman"/>
          <w:szCs w:val="32"/>
        </w:rPr>
        <w:t>。推动罗腾堡风情街、海运堤、“后浪”街区等重点商圈与特色商业街区建设，推进东门街、沙溪古镇等传统街区改造升级，积极引入网红餐饮、文创商店、潮流品牌、主题酒吧、轻食咖啡等业态，加快建设青年特色商业街区。在街区设计中融入青年文化元素，打造涂鸦墙、装置艺术、打卡地标等网红景观，定期举办创意市集、音乐演出、艺术展览、品牌快闪等活动，增强街区社交属性和话题性。结合节事活动、夜经济需求，持续推出夜游、夜展等“奇妙夜”特色时段活动，丰富青年夜间文化生活。引导“地摊经济”规范有序发展，结合城市空间布局，划定特定功能片区规划布局创意市集、周末夜市等特色消费场景，打造面向青年创客、手工艺人及文创从业者的低成本创业平台，丰富城市消费供给维度，提升太仓烟火气与商业活力。</w:t>
      </w:r>
    </w:p>
    <w:p w14:paraId="1386B1DC">
      <w:pPr>
        <w:widowControl/>
        <w:ind w:firstLine="616"/>
        <w:outlineLvl w:val="1"/>
        <w:rPr>
          <w:rFonts w:hint="default" w:ascii="Times New Roman" w:hAnsi="Times New Roman" w:eastAsia="楷体_GB2312" w:cs="Times New Roman"/>
          <w:szCs w:val="32"/>
        </w:rPr>
      </w:pPr>
      <w:bookmarkStart w:id="27" w:name="_Toc18935"/>
      <w:r>
        <w:rPr>
          <w:rFonts w:hint="default" w:ascii="Times New Roman" w:hAnsi="Times New Roman" w:eastAsia="楷体_GB2312" w:cs="Times New Roman"/>
          <w:szCs w:val="32"/>
        </w:rPr>
        <w:t>（三）护航青年婚恋育养全链条</w:t>
      </w:r>
      <w:bookmarkEnd w:id="27"/>
    </w:p>
    <w:p w14:paraId="31620463">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强化婚恋家庭观念教育引导</w:t>
      </w:r>
      <w:r>
        <w:rPr>
          <w:rFonts w:hint="default" w:ascii="Times New Roman" w:hAnsi="Times New Roman" w:cs="Times New Roman"/>
          <w:szCs w:val="32"/>
        </w:rPr>
        <w:t>。深化适龄青年对婚姻幸福的认识和理解，增强婚恋意识和婚姻素养，树立以信任为基石、以有效沟通为前提、以共同经营和精心维护为路径的健康婚姻观。深入宣传“移风易俗”，大力弘扬简约适度、现代文明的婚俗新风。深化家庭文明建设，引导青年维护家庭和谐、注重家风家教。通过政府购买服务，为婚姻当事人提供婚前辅导、婚姻家庭关系辅导和离婚疏导服务，提升当事人婚姻家庭责任感，化解矛盾纠纷，促进婚姻家庭稳定。宣传弘扬中华优秀传统婚姻家庭文化，加强文明家庭、最美家庭等典型的选树宣传。</w:t>
      </w:r>
    </w:p>
    <w:p w14:paraId="184F1E0A">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畅通青年婚恋交友渠道</w:t>
      </w:r>
      <w:r>
        <w:rPr>
          <w:rFonts w:hint="default" w:ascii="Times New Roman" w:hAnsi="Times New Roman" w:cs="Times New Roman"/>
          <w:szCs w:val="32"/>
        </w:rPr>
        <w:t>。深化“太懂青年”平台建设，链接“太友i”青年交友模块，打造集线上交友、线下活动、政策支持于一体的青年婚恋服务生态，建立相识、相恋、结婚全流程服务机制。常态化开展青年交友活动，举办户外拓展、文化联谊、田园相亲会等多元主题活动，为新婚青年提供婚恋服务礼包。大力培育“青年公益红娘”志愿服务队伍，定向培养一批专业社工，为青年群体提供婚恋指导、情感咨询、关系疏导等专业化服务。依托现代田园城特色，创新打造金仓湖畔、乡村田园等特色交友场景，推动青年主题街区、文化场馆、体育场所等向交友活动开放。</w:t>
      </w:r>
    </w:p>
    <w:p w14:paraId="2E401178">
      <w:pPr>
        <w:ind w:firstLine="616"/>
        <w:rPr>
          <w:rFonts w:hint="default" w:ascii="Times New Roman" w:hAnsi="Times New Roman" w:cs="Times New Roman"/>
          <w:szCs w:val="32"/>
        </w:rPr>
      </w:pPr>
      <w:r>
        <w:rPr>
          <w:rFonts w:hint="default" w:ascii="Times New Roman" w:hAnsi="Times New Roman" w:cs="Times New Roman"/>
          <w:szCs w:val="32"/>
        </w:rPr>
        <w:t xml:space="preserve">3. </w:t>
      </w:r>
      <w:r>
        <w:rPr>
          <w:rFonts w:hint="default" w:ascii="Times New Roman" w:hAnsi="Times New Roman" w:cs="Times New Roman"/>
          <w:b/>
          <w:bCs/>
          <w:szCs w:val="32"/>
        </w:rPr>
        <w:t>推动生育友好型社会建设</w:t>
      </w:r>
      <w:r>
        <w:rPr>
          <w:rFonts w:hint="default" w:ascii="Times New Roman" w:hAnsi="Times New Roman" w:cs="Times New Roman"/>
          <w:szCs w:val="32"/>
        </w:rPr>
        <w:t>。大力倡扬尊重生育、适龄婚育、优生优育、夫妻共育等理念。促进完善和落实生育养育支持政策，严格执行产假、男方护理假、育儿假等制度，保障生育妇女休假合法权益，建设家庭友好型职场，优化经办服务，强化生育服务支持。增加医疗资源供给，优化调整医疗机构产科、儿科资源布局，推进助产机构开展无痛分娩。推动女性职育平衡，加强女性就业支持与特殊劳动保护，推动用人单位采取弹性工作制、配建母婴设施、提供福利性托育服务等家庭友好举措，帮助职工解决育儿困难。持续增加3岁以下婴幼儿托位数，支持公办机构发展普惠托育服务，鼓励社会力量发展社区托育服务设施和综合托育服务机构。优化青年职工子女寒暑托服务，创新在集宿区、人才公寓等青年集聚地设立“职工子女暑托服务站点”，持续优化办班结构，切实解决青年职工子女托管难题。以实施家庭教育促进法为抓手，协同社会力量深入研究“三孩”等政策背景下家庭领域的新情况新问题，为拓展支持家庭的公共服务提供决策参考。</w:t>
      </w:r>
    </w:p>
    <w:p w14:paraId="6AEAE608">
      <w:pPr>
        <w:pStyle w:val="2"/>
        <w:spacing w:line="580" w:lineRule="exact"/>
        <w:ind w:firstLine="616"/>
        <w:rPr>
          <w:rFonts w:hint="default" w:ascii="Times New Roman" w:hAnsi="Times New Roman" w:cs="Times New Roman"/>
        </w:rPr>
      </w:pPr>
      <w:bookmarkStart w:id="28" w:name="_Toc23614"/>
      <w:r>
        <w:rPr>
          <w:rFonts w:hint="default" w:ascii="Times New Roman" w:hAnsi="Times New Roman" w:cs="Times New Roman"/>
        </w:rPr>
        <w:t>七、建设向上向善青年文明之城</w:t>
      </w:r>
      <w:bookmarkEnd w:id="28"/>
    </w:p>
    <w:p w14:paraId="5087BF03">
      <w:pPr>
        <w:widowControl/>
        <w:ind w:firstLine="616"/>
        <w:outlineLvl w:val="1"/>
        <w:rPr>
          <w:rFonts w:hint="default" w:ascii="Times New Roman" w:hAnsi="Times New Roman" w:eastAsia="楷体_GB2312" w:cs="Times New Roman"/>
          <w:szCs w:val="32"/>
        </w:rPr>
      </w:pPr>
      <w:bookmarkStart w:id="29" w:name="_Toc25520"/>
      <w:r>
        <w:rPr>
          <w:rFonts w:hint="default" w:ascii="Times New Roman" w:hAnsi="Times New Roman" w:eastAsia="楷体_GB2312" w:cs="Times New Roman"/>
          <w:szCs w:val="32"/>
        </w:rPr>
        <w:t>（一）引领青年坚定理想信念</w:t>
      </w:r>
      <w:bookmarkEnd w:id="29"/>
    </w:p>
    <w:p w14:paraId="02B7A48B">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加强青年理想信念教育</w:t>
      </w:r>
      <w:r>
        <w:rPr>
          <w:rFonts w:hint="default" w:ascii="Times New Roman" w:hAnsi="Times New Roman" w:cs="Times New Roman"/>
          <w:szCs w:val="32"/>
        </w:rPr>
        <w:t>。坚持不懈用习近平新时代中国特色社会主义思想武装青年，广泛开展“青年大学习”行动。抓牢抓实习近平新时代中国特色社会主义思想、党的二十大和二十届历次全会等各类理论学习，形成“覆盖全面、牵动有力、基层活跃、特点鲜明”的青年理论学习工作格局。引导新时代太仓青年坚定理想信念、厚植家国情怀、涵养进取品格，以奋斗姿态激扬青春。深入实施青年马克思主义者培养工程，坚持把马克思主义基本原理同中国具体实际相结合、同中华优秀传统文化相结合，不断厚植马克思主义中国化时代化的理论根基和文化根基，探索面向未来的理论和制度创新，培养一大批坚定的新时代青年马克思主义者。引导广大青年自觉把个人的前途命运同国家民族的命运紧密联系在一起，坚定听党话、跟党走，立鸿鹄志，做奋斗者。</w:t>
      </w:r>
    </w:p>
    <w:p w14:paraId="5A3022CA">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弘扬社会主流价值观念</w:t>
      </w:r>
      <w:r>
        <w:rPr>
          <w:rFonts w:hint="default" w:ascii="Times New Roman" w:hAnsi="Times New Roman" w:cs="Times New Roman"/>
          <w:szCs w:val="32"/>
        </w:rPr>
        <w:t>。引导青年勤学、修德、明辨、笃实，使社会主义核心价值观内化为青年的坚定信念，外化为青年的自觉行动。加强新时代爱国主义教育和革命传统教育，持续深化“强国复兴有我”群众性主题宣传教育，大力弘扬以爱国主义为核心的民族精神和以改革创新为核心的时代精神。扩大青年榜样示范引领作用，按规定申报开展形式多样的青年群众性精神文明创建工作，选树青年榜样模范，充分发挥“青年五四奖章”“青年文明号”等典型示范作用，引导青年争当向上向善好青年，引领社会文明新风尚。加强民族团结宣传教育，推动全市各族青年交往交流交融，树立正确的国家观、民族观、历史观、文化观、宗教观，共同维护祖国统一和各民族繁荣发展。教育适龄青年履行兵役义务，强化青年国防教育和总体国家安全观。</w:t>
      </w:r>
    </w:p>
    <w:p w14:paraId="03B3855E">
      <w:pPr>
        <w:ind w:firstLine="616"/>
        <w:rPr>
          <w:rFonts w:hint="default" w:ascii="Times New Roman" w:hAnsi="Times New Roman" w:cs="Times New Roman"/>
          <w:szCs w:val="32"/>
        </w:rPr>
      </w:pPr>
      <w:r>
        <w:rPr>
          <w:rFonts w:hint="default" w:ascii="Times New Roman" w:hAnsi="Times New Roman" w:cs="Times New Roman"/>
          <w:szCs w:val="32"/>
        </w:rPr>
        <w:t xml:space="preserve">3. </w:t>
      </w:r>
      <w:r>
        <w:rPr>
          <w:rFonts w:hint="default" w:ascii="Times New Roman" w:hAnsi="Times New Roman" w:cs="Times New Roman"/>
          <w:b/>
          <w:bCs/>
          <w:szCs w:val="32"/>
        </w:rPr>
        <w:t>开展分层分类思想引导</w:t>
      </w:r>
      <w:r>
        <w:rPr>
          <w:rFonts w:hint="default" w:ascii="Times New Roman" w:hAnsi="Times New Roman" w:cs="Times New Roman"/>
          <w:szCs w:val="32"/>
        </w:rPr>
        <w:t>。尊重不同青少年群体的年龄特点和接受习惯，坚持分层递进、分类引导，坚持见人见事见物。在小学、初中突出“仪式感”，广泛开展仪式教育和“扣好人生第一粒扣子”等主题活动。在高中、大学凸显“引领性”，依托青年学习社及线路，组织青年沉浸式、互动式深入学习党的创新理论。持续壮大“娄城青年讲师团”队伍，用青年榜样引领青年，努力在青年中形成鲜明的核心价值取向。在职业青年群体中凸显“家国情”，引导广大职业青年不断树立家国情怀和职业理想，增强实干兴邦的自觉性和紧迫感。</w:t>
      </w:r>
    </w:p>
    <w:p w14:paraId="1910136F">
      <w:pPr>
        <w:widowControl/>
        <w:ind w:firstLine="616"/>
        <w:outlineLvl w:val="1"/>
        <w:rPr>
          <w:rFonts w:hint="default" w:ascii="Times New Roman" w:hAnsi="Times New Roman" w:eastAsia="楷体_GB2312" w:cs="Times New Roman"/>
          <w:szCs w:val="32"/>
        </w:rPr>
      </w:pPr>
      <w:bookmarkStart w:id="30" w:name="_Toc7543"/>
      <w:r>
        <w:rPr>
          <w:rFonts w:hint="default" w:ascii="Times New Roman" w:hAnsi="Times New Roman" w:eastAsia="楷体_GB2312" w:cs="Times New Roman"/>
          <w:szCs w:val="32"/>
        </w:rPr>
        <w:t>（二）搭建青年社会参与融入桥梁</w:t>
      </w:r>
      <w:bookmarkEnd w:id="30"/>
    </w:p>
    <w:p w14:paraId="18C64A37">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引导青年参与政治和社会事务</w:t>
      </w:r>
      <w:r>
        <w:rPr>
          <w:rFonts w:hint="default" w:ascii="Times New Roman" w:hAnsi="Times New Roman" w:cs="Times New Roman"/>
          <w:szCs w:val="32"/>
        </w:rPr>
        <w:t>。支持共青团、青联代表和带领青年积极参与有关方面协商，定期开展“共青团与人大代表、政协委员面对面”等活动，为青年参与畅通渠道、搭建平台。增进不同青年群体的交流、联系与融合，进一步凝聚快递员、外卖配送员、网约车司机、网络直播者等新就业群体。引导青年社会组织健康有序发展，完善对青年社会组织的联系服务和监督管理。激活社区、社会组织、社工、志愿者、社会资源联动机制。纵深推进“社区青年干事360行动计划”，加大社区青年干事储备，动态扩充履职项目清单。加强社工领域青年人才队伍建设，持续培育各类社工人才，提升青年社工专业化水平，充分发挥青年社工在基层治理、社区营造、困难群体帮扶等领域的专业作用。实施“定制新农干”培育工程，定向培养一批扎根基层、服务乡村的青年干部人才，推动广大青年积极投身乡村振兴，在农业农村现代化建设中建功立业。</w:t>
      </w:r>
    </w:p>
    <w:p w14:paraId="0A19DF00">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引导青年主动投身志愿服务</w:t>
      </w:r>
      <w:r>
        <w:rPr>
          <w:rFonts w:hint="default" w:ascii="Times New Roman" w:hAnsi="Times New Roman" w:cs="Times New Roman"/>
          <w:szCs w:val="32"/>
        </w:rPr>
        <w:t>。擦亮“娄城小太young”志愿服务品牌，大力弘扬志愿服务精神，吸引和鼓励青年参与文明创建、环境保护、暖冬行动等志愿服务和公益活动，储备和壮大志愿服务队伍</w:t>
      </w:r>
      <w:r>
        <w:rPr>
          <w:rFonts w:hint="default" w:ascii="Times New Roman" w:hAnsi="Times New Roman" w:cs="Times New Roman"/>
          <w:szCs w:val="32"/>
          <w:lang w:eastAsia="zh-CN"/>
        </w:rPr>
        <w:t>，</w:t>
      </w:r>
      <w:r>
        <w:rPr>
          <w:rFonts w:hint="default" w:ascii="Times New Roman" w:hAnsi="Times New Roman" w:cs="Times New Roman"/>
          <w:szCs w:val="32"/>
        </w:rPr>
        <w:t>打造一批具有专业性和特色化的志愿服务项目。响应乡村振兴战略，推进“大学生志愿服务乡村振兴计划”，组织动员各界青年积极投身乡村振兴主战场，助力</w:t>
      </w:r>
      <w:r>
        <w:rPr>
          <w:rFonts w:hint="default" w:ascii="Times New Roman" w:hAnsi="Times New Roman" w:cs="Times New Roman"/>
          <w:szCs w:val="32"/>
          <w:lang w:val="en-US" w:eastAsia="zh-CN"/>
        </w:rPr>
        <w:t>美丽</w:t>
      </w:r>
      <w:r>
        <w:rPr>
          <w:rFonts w:hint="default" w:ascii="Times New Roman" w:hAnsi="Times New Roman" w:cs="Times New Roman"/>
          <w:szCs w:val="32"/>
        </w:rPr>
        <w:t>太仓建设。持续拓宽服务领域，提高服务质量，推动青年志愿服务在基层社会治理中发挥更大作用。</w:t>
      </w:r>
    </w:p>
    <w:p w14:paraId="1D8CAD43">
      <w:pPr>
        <w:widowControl/>
        <w:ind w:firstLine="616"/>
        <w:outlineLvl w:val="1"/>
        <w:rPr>
          <w:rFonts w:hint="default" w:ascii="Times New Roman" w:hAnsi="Times New Roman" w:eastAsia="楷体_GB2312" w:cs="Times New Roman"/>
          <w:szCs w:val="32"/>
        </w:rPr>
      </w:pPr>
      <w:bookmarkStart w:id="31" w:name="_Toc7929"/>
      <w:r>
        <w:rPr>
          <w:rFonts w:hint="default" w:ascii="Times New Roman" w:hAnsi="Times New Roman" w:eastAsia="楷体_GB2312" w:cs="Times New Roman"/>
          <w:szCs w:val="32"/>
        </w:rPr>
        <w:t>（三）守护青年清朗网络空间</w:t>
      </w:r>
      <w:bookmarkEnd w:id="31"/>
    </w:p>
    <w:p w14:paraId="38DFA7E6">
      <w:pPr>
        <w:ind w:firstLine="616"/>
        <w:rPr>
          <w:rFonts w:hint="default" w:ascii="Times New Roman" w:hAnsi="Times New Roman" w:cs="Times New Roman"/>
          <w:szCs w:val="32"/>
        </w:rPr>
      </w:pPr>
      <w:r>
        <w:rPr>
          <w:rFonts w:hint="default" w:ascii="Times New Roman" w:hAnsi="Times New Roman" w:cs="Times New Roman"/>
          <w:szCs w:val="32"/>
        </w:rPr>
        <w:t xml:space="preserve">1. </w:t>
      </w:r>
      <w:r>
        <w:rPr>
          <w:rFonts w:hint="default" w:ascii="Times New Roman" w:hAnsi="Times New Roman" w:cs="Times New Roman"/>
          <w:b/>
          <w:bCs/>
          <w:szCs w:val="32"/>
        </w:rPr>
        <w:t>筑牢青年网络思想阵地</w:t>
      </w:r>
      <w:r>
        <w:rPr>
          <w:rFonts w:hint="default" w:ascii="Times New Roman" w:hAnsi="Times New Roman" w:cs="Times New Roman"/>
          <w:szCs w:val="32"/>
        </w:rPr>
        <w:t>。深入打造“网聚娄城”网络文明品牌，建立以“云上太仓”为核心，新时代文明实践站点、法治素养教育基地等阵地为平台，集网络文明传播、网络文化建设、网络普法活动为一体的网络文明矩阵，加快推动网络文化建设和网络文明传播有机统一。推动网络文化培育和道德建设，用中华优秀文化滋养网络空间，创新推出融媒体系列产品。注重发挥网络意见领袖的引导作用，持续净化网络环境。鼓励中小学增设网络安全教育课程，广泛开展网络素养教育，提升网络安全意识，加强正面宣传，引导青年科学、依法、文明、理性用网。深入开展网络素养教育，引导青年善用网络、安全用网、阳光用网和理性上网。</w:t>
      </w:r>
    </w:p>
    <w:p w14:paraId="7739041C">
      <w:pPr>
        <w:ind w:firstLine="616"/>
        <w:rPr>
          <w:rFonts w:hint="default" w:ascii="Times New Roman" w:hAnsi="Times New Roman" w:cs="Times New Roman"/>
          <w:szCs w:val="32"/>
        </w:rPr>
      </w:pPr>
      <w:r>
        <w:rPr>
          <w:rFonts w:hint="default" w:ascii="Times New Roman" w:hAnsi="Times New Roman" w:cs="Times New Roman"/>
          <w:szCs w:val="32"/>
        </w:rPr>
        <w:t xml:space="preserve">2. </w:t>
      </w:r>
      <w:r>
        <w:rPr>
          <w:rFonts w:hint="default" w:ascii="Times New Roman" w:hAnsi="Times New Roman" w:cs="Times New Roman"/>
          <w:b/>
          <w:bCs/>
          <w:szCs w:val="32"/>
        </w:rPr>
        <w:t>加强青年网络环境治理</w:t>
      </w:r>
      <w:r>
        <w:rPr>
          <w:rFonts w:hint="default" w:ascii="Times New Roman" w:hAnsi="Times New Roman" w:cs="Times New Roman"/>
          <w:szCs w:val="32"/>
        </w:rPr>
        <w:t>。持续开展“网聚娄城-普法润网”网络普法系列活动，针对网站平台、未成年人等重点群体开展形式多样的网络普法活动。强化举报受理，设立未成年人专门举报受理渠道，动员网民积极参与监督和举报，积极处理网络权益侵害问题。广泛开展青年网络文明志愿者行动，组织动员广大青年参与网络治理，构建清朗网络空间。</w:t>
      </w:r>
    </w:p>
    <w:p w14:paraId="615F930A">
      <w:pPr>
        <w:pStyle w:val="2"/>
        <w:spacing w:line="580" w:lineRule="exact"/>
        <w:ind w:firstLine="616"/>
        <w:rPr>
          <w:rFonts w:hint="default" w:ascii="Times New Roman" w:hAnsi="Times New Roman" w:cs="Times New Roman"/>
        </w:rPr>
      </w:pPr>
      <w:bookmarkStart w:id="32" w:name="_Toc28770"/>
      <w:r>
        <w:rPr>
          <w:rFonts w:hint="default" w:ascii="Times New Roman" w:hAnsi="Times New Roman" w:cs="Times New Roman"/>
        </w:rPr>
        <w:t>八、实施“荟青英</w:t>
      </w:r>
      <w:r>
        <w:rPr>
          <w:rFonts w:hint="default" w:ascii="Times New Roman" w:hAnsi="Times New Roman" w:eastAsia="微软雅黑" w:cs="Times New Roman"/>
        </w:rPr>
        <w:t>・</w:t>
      </w:r>
      <w:r>
        <w:rPr>
          <w:rFonts w:hint="default" w:ascii="Times New Roman" w:hAnsi="Times New Roman" w:cs="Times New Roman"/>
        </w:rPr>
        <w:t>筑青城”十大工程</w:t>
      </w:r>
      <w:bookmarkEnd w:id="32"/>
    </w:p>
    <w:p w14:paraId="2A98E3FD">
      <w:pPr>
        <w:widowControl/>
        <w:ind w:firstLine="616"/>
        <w:outlineLvl w:val="1"/>
        <w:rPr>
          <w:rFonts w:hint="default" w:ascii="Times New Roman" w:hAnsi="Times New Roman" w:eastAsia="楷体_GB2312" w:cs="Times New Roman"/>
          <w:szCs w:val="32"/>
        </w:rPr>
      </w:pPr>
      <w:bookmarkStart w:id="33" w:name="_Toc4877"/>
      <w:r>
        <w:rPr>
          <w:rFonts w:hint="default" w:ascii="Times New Roman" w:hAnsi="Times New Roman" w:eastAsia="楷体_GB2312" w:cs="Times New Roman"/>
          <w:szCs w:val="32"/>
        </w:rPr>
        <w:t>（一）领航铸魂工程</w:t>
      </w:r>
      <w:bookmarkEnd w:id="33"/>
    </w:p>
    <w:p w14:paraId="466F3654">
      <w:pPr>
        <w:ind w:firstLine="616"/>
        <w:rPr>
          <w:rFonts w:hint="default" w:ascii="Times New Roman" w:hAnsi="Times New Roman" w:cs="Times New Roman"/>
          <w:szCs w:val="32"/>
        </w:rPr>
      </w:pPr>
      <w:r>
        <w:rPr>
          <w:rFonts w:hint="default" w:ascii="Times New Roman" w:hAnsi="Times New Roman" w:cs="Times New Roman"/>
          <w:szCs w:val="32"/>
        </w:rPr>
        <w:t>广泛开展“学习二十大、永远跟党走、奋进新征程”“扣好人生第一粒扣子”等主题教育实践活动，塑造“幸福成长”品牌。发挥榜样示范作用，培育“新时代太仓好少年”“优秀文明小义工”“优秀小公民”等典型，引导广大青少年向上向善。建好用好乡村复兴少年宫，为青少年提供优质的实践教育场所。持续打造精品青年学习社线路，打造一批有特点、有实效、有影响力的青年阵地。强化网络引领，充分运用新媒体平台和网络载体，构建线上线下相结合的青年思想引领体系。全面推进“青年大学习”行动，壮大青年讲师团、红领巾巡讲团等各类宣讲团。深入开展以红领巾心向党、红领巾讲解员、红领巾“小五年规划”和少年军校、少年警校、少年科学院活动为主体的“三红三少”少先队实践育人活动，联合打造一批优秀样板。</w:t>
      </w:r>
    </w:p>
    <w:p w14:paraId="3384110E">
      <w:pPr>
        <w:widowControl/>
        <w:ind w:firstLine="616"/>
        <w:outlineLvl w:val="1"/>
        <w:rPr>
          <w:rFonts w:hint="default" w:ascii="Times New Roman" w:hAnsi="Times New Roman" w:eastAsia="楷体_GB2312" w:cs="Times New Roman"/>
          <w:szCs w:val="32"/>
        </w:rPr>
      </w:pPr>
      <w:bookmarkStart w:id="34" w:name="_Toc23630"/>
      <w:r>
        <w:rPr>
          <w:rFonts w:hint="default" w:ascii="Times New Roman" w:hAnsi="Times New Roman" w:eastAsia="楷体_GB2312" w:cs="Times New Roman"/>
          <w:szCs w:val="32"/>
        </w:rPr>
        <w:t>（二）优教育才工程</w:t>
      </w:r>
      <w:bookmarkEnd w:id="34"/>
    </w:p>
    <w:p w14:paraId="6C8F0613">
      <w:pPr>
        <w:ind w:firstLine="616"/>
        <w:rPr>
          <w:rFonts w:hint="default" w:ascii="Times New Roman" w:hAnsi="Times New Roman" w:cs="Times New Roman"/>
          <w:szCs w:val="32"/>
        </w:rPr>
      </w:pPr>
      <w:r>
        <w:rPr>
          <w:rFonts w:hint="default" w:ascii="Times New Roman" w:hAnsi="Times New Roman" w:cs="Times New Roman"/>
          <w:szCs w:val="32"/>
        </w:rPr>
        <w:t>进一步丰富优质教育资源供给，优化教育设施布局。深化名校领衔的中小学教育集团化改革，推进融合型中小学教育集团和幼教发展共同体建设。优化课程建设与师资培养，依托多元教学模式满足学生个性化发展需求，全面提升育人质量。促进学生多样化成长成才，推动五年制高职、中职高职“3+3”、中职本科“3+4”、高职本科“3+2”“4+0”等贯通项目与双元制人才培养有效融合。持续赋能AHK学院、中德</w:t>
      </w:r>
      <w:r>
        <w:rPr>
          <w:rFonts w:hint="default" w:ascii="Times New Roman" w:hAnsi="Times New Roman" w:cs="Times New Roman"/>
          <w:szCs w:val="32"/>
          <w:lang w:val="en-US" w:eastAsia="zh-CN"/>
        </w:rPr>
        <w:t>产教融合</w:t>
      </w:r>
      <w:r>
        <w:rPr>
          <w:rFonts w:hint="default" w:ascii="Times New Roman" w:hAnsi="Times New Roman" w:cs="Times New Roman"/>
          <w:szCs w:val="32"/>
        </w:rPr>
        <w:t>产业园建设，推进AHK学院“双元制”实训师培养与资格认定工作。</w:t>
      </w:r>
    </w:p>
    <w:p w14:paraId="45E8E563">
      <w:pPr>
        <w:widowControl/>
        <w:ind w:firstLine="616"/>
        <w:outlineLvl w:val="1"/>
        <w:rPr>
          <w:rFonts w:hint="default" w:ascii="Times New Roman" w:hAnsi="Times New Roman" w:eastAsia="楷体_GB2312" w:cs="Times New Roman"/>
          <w:szCs w:val="32"/>
        </w:rPr>
      </w:pPr>
      <w:bookmarkStart w:id="35" w:name="_Toc19189"/>
      <w:r>
        <w:rPr>
          <w:rFonts w:hint="default" w:ascii="Times New Roman" w:hAnsi="Times New Roman" w:eastAsia="楷体_GB2312" w:cs="Times New Roman"/>
          <w:szCs w:val="32"/>
        </w:rPr>
        <w:t>（三）健康护航工程</w:t>
      </w:r>
      <w:bookmarkEnd w:id="35"/>
    </w:p>
    <w:p w14:paraId="12B4E2C1">
      <w:pPr>
        <w:ind w:firstLine="616"/>
        <w:rPr>
          <w:rFonts w:hint="default" w:ascii="Times New Roman" w:hAnsi="Times New Roman" w:cs="Times New Roman"/>
          <w:szCs w:val="32"/>
        </w:rPr>
      </w:pPr>
      <w:r>
        <w:rPr>
          <w:rFonts w:hint="default" w:ascii="Times New Roman" w:hAnsi="Times New Roman" w:cs="Times New Roman"/>
          <w:szCs w:val="32"/>
        </w:rPr>
        <w:t>深化体教融合，广泛开展校内外普及性体育活动。完善体育设施建设，大力推进体育公园、笼式球场、多功能运动场建设，全面打造城乡一体的“10分钟”体育健身圈。加强青少年近视、结核病、脊柱侧弯等筛查干预，降低青少年常见病发病率。实施青少年儿童“明眸皓齿”口腔健康、初一适龄女生HPV疫苗接种、孤独症全程支持服务、青年健身环境优化等行动，健全覆盖全生命周期的健康服务体系。持续推进青少年烟草危害宣传，巩固无烟单位建设成果。进一步打造和擦亮“心+”心理健康服务特色品牌，持续开展义诊进企业、健康讲座进企业等活动，推动“AI工小新”24小时智能化职工心理健康服务平台和专业心理咨询师志愿者队伍建设，普及健康知识、缓解工作压力。持续关注青年职工健康状况，为青年群体提供有针对性的职业病防治宣传、培训及服务，加强职业病执法监督检查，营造良好就业环境。关注青少年心理健康问题，开设心理咨询门诊，提供危机干预、团体辅导、一对一个体心理辅导等服务，帮助家长提高识别应对子女心理问题的意识与能力。深化“医教结合”，积极探索“医企结合”，建立健全精神卫生机构与学校、企业协作机制，提供专业支持。</w:t>
      </w:r>
    </w:p>
    <w:p w14:paraId="406BCD25">
      <w:pPr>
        <w:widowControl/>
        <w:ind w:firstLine="616"/>
        <w:outlineLvl w:val="1"/>
        <w:rPr>
          <w:rFonts w:hint="default" w:ascii="Times New Roman" w:hAnsi="Times New Roman" w:eastAsia="楷体_GB2312" w:cs="Times New Roman"/>
          <w:szCs w:val="32"/>
        </w:rPr>
      </w:pPr>
      <w:bookmarkStart w:id="36" w:name="_Toc17711"/>
      <w:r>
        <w:rPr>
          <w:rFonts w:hint="default" w:ascii="Times New Roman" w:hAnsi="Times New Roman" w:eastAsia="楷体_GB2312" w:cs="Times New Roman"/>
          <w:szCs w:val="32"/>
        </w:rPr>
        <w:t>（四）聚才引智工程</w:t>
      </w:r>
      <w:bookmarkEnd w:id="36"/>
    </w:p>
    <w:p w14:paraId="02A9E5C7">
      <w:pPr>
        <w:ind w:firstLine="616"/>
        <w:rPr>
          <w:rFonts w:hint="default" w:ascii="Times New Roman" w:hAnsi="Times New Roman" w:cs="Times New Roman"/>
          <w:szCs w:val="32"/>
        </w:rPr>
      </w:pPr>
      <w:r>
        <w:rPr>
          <w:rFonts w:hint="default" w:ascii="Times New Roman" w:hAnsi="Times New Roman" w:cs="Times New Roman"/>
          <w:szCs w:val="32"/>
        </w:rPr>
        <w:t>抢抓长三角一体化、虹桥国际开放枢纽北翼发展极建设等战略叠加机遇，定向延揽掌握关键核心技术、国际前沿技术的青年科技人才。围绕“3+3+X”产业集群发展方向，聚焦重点产业领域人才需求，加大海外青年人才、高层次青年人才引育力度，加快集聚“双一流”高校、世界大学排名前百名高校毕业生，构建与产业发展相匹配的青年人才队伍。结合上级部署要求，主动谋划太仓人力资源服务产业园布局建设。加强与知名猎头、创业服务公司等各类引才机构合作，推进社会化引才体系建设。发挥高校人才培养“主阵地”作用，推动西浦创业家学院（太仓）培养更多优秀青年人才。建立校地合作人才培养机制，提升本土人才培养质量。深化人才发展体制机制改革，推动航空航天、生物医药等重点产业专项人才政策落地见效。高效运营人才服务中心，推行“专网、专窗、专码、专线”一体化服务模式，迭代升级“太i才政策一点通”，大力拓展“人才码”应用场景，为青年人才提供更多“不见面”服务体验。</w:t>
      </w:r>
    </w:p>
    <w:p w14:paraId="4AE0B4E5">
      <w:pPr>
        <w:widowControl/>
        <w:ind w:firstLine="616"/>
        <w:outlineLvl w:val="1"/>
        <w:rPr>
          <w:rFonts w:hint="default" w:ascii="Times New Roman" w:hAnsi="Times New Roman" w:eastAsia="楷体_GB2312" w:cs="Times New Roman"/>
          <w:szCs w:val="32"/>
        </w:rPr>
      </w:pPr>
      <w:bookmarkStart w:id="37" w:name="_Toc21410"/>
      <w:r>
        <w:rPr>
          <w:rFonts w:hint="default" w:ascii="Times New Roman" w:hAnsi="Times New Roman" w:eastAsia="楷体_GB2312" w:cs="Times New Roman"/>
          <w:szCs w:val="32"/>
        </w:rPr>
        <w:t>（五）</w:t>
      </w:r>
      <w:bookmarkStart w:id="38" w:name="_Hlk213081077"/>
      <w:r>
        <w:rPr>
          <w:rFonts w:hint="default" w:ascii="Times New Roman" w:hAnsi="Times New Roman" w:eastAsia="楷体_GB2312" w:cs="Times New Roman"/>
          <w:szCs w:val="32"/>
        </w:rPr>
        <w:t>安居乐居工程</w:t>
      </w:r>
      <w:bookmarkEnd w:id="37"/>
    </w:p>
    <w:p w14:paraId="2988987A">
      <w:pPr>
        <w:spacing w:line="558" w:lineRule="exact"/>
        <w:ind w:firstLine="616"/>
        <w:rPr>
          <w:rFonts w:hint="default" w:ascii="Times New Roman" w:hAnsi="Times New Roman" w:cs="Times New Roman"/>
          <w:szCs w:val="32"/>
        </w:rPr>
      </w:pPr>
      <w:r>
        <w:rPr>
          <w:rFonts w:hint="default" w:ascii="Times New Roman" w:hAnsi="Times New Roman" w:cs="Times New Roman"/>
          <w:szCs w:val="32"/>
        </w:rPr>
        <w:t>加强青年安居保障，分层分类打造高水平青年人才集聚区、青年人才公寓、企业集宿区等青年人才社区生活共同体，切实推进保障性安居工程建设，持续改善公租房居住环境。建设嵌入式托育、文化、休闲等公共服务设施，推动</w:t>
      </w: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五有”</w:t>
      </w:r>
      <w:r>
        <w:rPr>
          <w:rFonts w:hint="default" w:ascii="Times New Roman" w:hAnsi="Times New Roman" w:cs="Times New Roman"/>
          <w:szCs w:val="32"/>
        </w:rPr>
        <w:t>青年社区和“一刻钟幸福生活圈”建设，优化青年生活居住体验。积极推动在城市公共设施中嵌入式打造兼具多种功能的青年之家。探索拓展各类人才公寓增值服务，营造充满活力的人才社区氛围。实施“青年社群主理人孵化计划”，强化主理人核心能力培训，实现青年自我服务、自主探索、自发成长。将青年优先发展理念融入城市发展战略，结合国土空间规划，加强符合青年特质的城市发展品质引导，打造一批体现青年特色和青年元素的艺术小品设施、口袋公园、城市阳台、青年运动公园等城市建设项目，持续提升青年居住品质和生活幸福感。</w:t>
      </w:r>
    </w:p>
    <w:bookmarkEnd w:id="38"/>
    <w:p w14:paraId="784E3E48">
      <w:pPr>
        <w:widowControl/>
        <w:spacing w:line="558" w:lineRule="exact"/>
        <w:ind w:firstLine="616"/>
        <w:outlineLvl w:val="1"/>
        <w:rPr>
          <w:rFonts w:hint="default" w:ascii="Times New Roman" w:hAnsi="Times New Roman" w:eastAsia="楷体_GB2312" w:cs="Times New Roman"/>
          <w:szCs w:val="32"/>
        </w:rPr>
      </w:pPr>
      <w:bookmarkStart w:id="39" w:name="_Toc474"/>
      <w:r>
        <w:rPr>
          <w:rFonts w:hint="default" w:ascii="Times New Roman" w:hAnsi="Times New Roman" w:eastAsia="楷体_GB2312" w:cs="Times New Roman"/>
          <w:szCs w:val="32"/>
        </w:rPr>
        <w:t>（六）乐业赋能工程</w:t>
      </w:r>
      <w:bookmarkEnd w:id="39"/>
    </w:p>
    <w:p w14:paraId="6CB858AC">
      <w:pPr>
        <w:spacing w:line="558" w:lineRule="exact"/>
        <w:ind w:firstLine="616"/>
        <w:rPr>
          <w:rFonts w:hint="default" w:ascii="Times New Roman" w:hAnsi="Times New Roman" w:cs="Times New Roman"/>
          <w:szCs w:val="32"/>
        </w:rPr>
      </w:pPr>
      <w:r>
        <w:rPr>
          <w:rFonts w:hint="default" w:ascii="Times New Roman" w:hAnsi="Times New Roman" w:cs="Times New Roman"/>
          <w:szCs w:val="32"/>
        </w:rPr>
        <w:t>实施青年就业扩面提质行动，持续推进“家门口就业一件事”和“15分钟就业服务圈”建设，健全就业全流程服务机制，迭代升级“乐就太仓”线上服务平台，开设重点产业、高校毕业生、灵活就业等特色专区，精准对接各类青年群体就业需求。探索开展“千人就业见习岗位募集计划”，强化见习岗位开发，面向企业、科研院所等事业单位开发科研类、技术类、管理类岗位。搭建机关企事业单位与本地高校的常态化实习实践平台，积极打造校地共建的实训实践基地，拓宽青年人才就业渠道。持续推进“送技入企”“苏城技能共享学堂”等相关活动，为产业发展提供技能人才培训、技能等级认定服务，持续提升青年劳动者职业技能水平和就业竞争力。提档升级青年就业政策服务包，提升“人才考察礼遇”“首年生活补贴”知晓度，推动政策红利精准直达青年群体。</w:t>
      </w:r>
    </w:p>
    <w:p w14:paraId="772EBCE3">
      <w:pPr>
        <w:widowControl/>
        <w:ind w:firstLine="616"/>
        <w:outlineLvl w:val="1"/>
        <w:rPr>
          <w:rFonts w:hint="default" w:ascii="Times New Roman" w:hAnsi="Times New Roman" w:eastAsia="楷体_GB2312" w:cs="Times New Roman"/>
          <w:szCs w:val="32"/>
        </w:rPr>
      </w:pPr>
      <w:bookmarkStart w:id="40" w:name="_Toc14254"/>
      <w:r>
        <w:rPr>
          <w:rFonts w:hint="default" w:ascii="Times New Roman" w:hAnsi="Times New Roman" w:eastAsia="楷体_GB2312" w:cs="Times New Roman"/>
          <w:szCs w:val="32"/>
        </w:rPr>
        <w:t>（七）创启未来工程</w:t>
      </w:r>
      <w:bookmarkEnd w:id="40"/>
    </w:p>
    <w:p w14:paraId="57113AC9">
      <w:pPr>
        <w:ind w:firstLine="616"/>
        <w:rPr>
          <w:rFonts w:hint="default" w:ascii="Times New Roman" w:hAnsi="Times New Roman" w:cs="Times New Roman"/>
          <w:szCs w:val="32"/>
        </w:rPr>
      </w:pPr>
      <w:r>
        <w:rPr>
          <w:rFonts w:hint="default" w:ascii="Times New Roman" w:hAnsi="Times New Roman" w:cs="Times New Roman"/>
          <w:szCs w:val="32"/>
        </w:rPr>
        <w:t>高质量举办“吴健雄杯”系列创新创业大赛，培育选树一批青年创新创业人才。深入实施“苏青小店”培育计划，助力青年群体在新消费、新业态浪潮中创业发展。拓展“苏科贷”“娄城科创人才贷”等金融服务产品覆盖范围，发挥智汇科创基金、娄城人才基金等直投基金“投早、投小、投长期、投硬科技”作用，支持初创企业发展和科技成果转化。不断深化“太仓青年人才驿站”服务品牌，打造青年来太求职创业的暖心“第一站”。充实“青年创业者导师团”队伍，推出“青创课堂”系列讲座，持续孵化青年创业项目。</w:t>
      </w:r>
    </w:p>
    <w:p w14:paraId="4B0927A1">
      <w:pPr>
        <w:widowControl/>
        <w:ind w:firstLine="616"/>
        <w:outlineLvl w:val="1"/>
        <w:rPr>
          <w:rFonts w:hint="default" w:ascii="Times New Roman" w:hAnsi="Times New Roman" w:eastAsia="楷体_GB2312" w:cs="Times New Roman"/>
          <w:szCs w:val="32"/>
        </w:rPr>
      </w:pPr>
      <w:bookmarkStart w:id="41" w:name="_Toc11568"/>
      <w:r>
        <w:rPr>
          <w:rFonts w:hint="default" w:ascii="Times New Roman" w:hAnsi="Times New Roman" w:eastAsia="楷体_GB2312" w:cs="Times New Roman"/>
          <w:szCs w:val="32"/>
        </w:rPr>
        <w:t>（八）乐享焕新工程</w:t>
      </w:r>
      <w:bookmarkEnd w:id="41"/>
    </w:p>
    <w:p w14:paraId="394239EF">
      <w:pPr>
        <w:ind w:firstLine="616"/>
        <w:rPr>
          <w:rFonts w:hint="default" w:ascii="Times New Roman" w:hAnsi="Times New Roman" w:cs="Times New Roman"/>
          <w:szCs w:val="32"/>
        </w:rPr>
      </w:pPr>
      <w:r>
        <w:rPr>
          <w:rFonts w:hint="default" w:ascii="Times New Roman" w:hAnsi="Times New Roman" w:cs="Times New Roman"/>
          <w:szCs w:val="32"/>
        </w:rPr>
        <w:t>打造罗腾堡风情街、阿尔卑斯国际度假区、七十二家理想村、</w:t>
      </w:r>
      <w:r>
        <w:rPr>
          <w:rFonts w:hint="default" w:ascii="Times New Roman" w:hAnsi="Times New Roman" w:cs="Times New Roman"/>
          <w:szCs w:val="32"/>
          <w:lang w:eastAsia="zh-CN"/>
        </w:rPr>
        <w:t>“</w:t>
      </w:r>
      <w:r>
        <w:rPr>
          <w:rFonts w:hint="default" w:ascii="Times New Roman" w:hAnsi="Times New Roman" w:cs="Times New Roman"/>
          <w:szCs w:val="32"/>
        </w:rPr>
        <w:t>城南就是</w:t>
      </w:r>
      <w:r>
        <w:rPr>
          <w:rFonts w:hint="default" w:ascii="Times New Roman" w:hAnsi="Times New Roman" w:cs="Times New Roman"/>
          <w:szCs w:val="32"/>
          <w:lang w:eastAsia="zh-CN"/>
        </w:rPr>
        <w:t>”</w:t>
      </w:r>
      <w:r>
        <w:rPr>
          <w:rFonts w:hint="default" w:ascii="Times New Roman" w:hAnsi="Times New Roman" w:cs="Times New Roman"/>
          <w:szCs w:val="32"/>
        </w:rPr>
        <w:t>等年轻力地标，结合区镇特色推动商旅文一体化。推动</w:t>
      </w:r>
      <w:r>
        <w:rPr>
          <w:rFonts w:hint="default" w:ascii="Times New Roman" w:hAnsi="Times New Roman" w:cs="Times New Roman"/>
          <w:szCs w:val="32"/>
          <w:lang w:val="en-US" w:eastAsia="zh-CN"/>
        </w:rPr>
        <w:t>一批</w:t>
      </w:r>
      <w:r>
        <w:rPr>
          <w:rFonts w:hint="default" w:ascii="Times New Roman" w:hAnsi="Times New Roman" w:cs="Times New Roman"/>
          <w:szCs w:val="32"/>
        </w:rPr>
        <w:t>重点商圈与特色商业街区</w:t>
      </w:r>
      <w:r>
        <w:rPr>
          <w:rFonts w:hint="default" w:ascii="Times New Roman" w:hAnsi="Times New Roman" w:cs="Times New Roman"/>
          <w:szCs w:val="32"/>
          <w:lang w:val="en-US" w:eastAsia="zh-CN"/>
        </w:rPr>
        <w:t>适青化</w:t>
      </w:r>
      <w:r>
        <w:rPr>
          <w:rFonts w:hint="default" w:ascii="Times New Roman" w:hAnsi="Times New Roman" w:cs="Times New Roman"/>
          <w:szCs w:val="32"/>
        </w:rPr>
        <w:t>建设，增强街区社交属性和话题性。探索将有特色的老旧厂房打造成青年发展活力空间，联动在地商家、艺术机构、青年社群主理人推出限定体验与权益，持续激活城市青年文化生命力。构建全年度青年文化活动体系，继续办好郑和航海杯帆船帆板公开赛等重点活动，策划举办太仓音乐节、青年文化节、青年文化展等重点品牌活动，探索举办乡村咖啡市集、露营周、户外音乐嘉年华、电竞比赛等青年喜爱的特色文化新活动，策划破壁出圈爆点。常态化举办</w:t>
      </w: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太懂青年”</w:t>
      </w:r>
      <w:r>
        <w:rPr>
          <w:rFonts w:hint="default" w:ascii="Times New Roman" w:hAnsi="Times New Roman" w:cs="Times New Roman"/>
          <w:szCs w:val="32"/>
        </w:rPr>
        <w:t>青年夜校、青少年美术作品展、音乐演出、艺术展览、品牌快闪等主题活动，培育街角艺术展演等街头活力场景。开展全城寻宝打卡、街区探秘计划等互动项目，形成持续的青年参与热度。依托小红书、抖音、哔哩哔哩、微信视频号等青年聚集平台，强化话题营销、达人合作与用户共创，推动“太懂青年”城市IP持续出圈。</w:t>
      </w:r>
    </w:p>
    <w:p w14:paraId="3CB555A0">
      <w:pPr>
        <w:widowControl/>
        <w:ind w:firstLine="616"/>
        <w:outlineLvl w:val="1"/>
        <w:rPr>
          <w:rFonts w:hint="default" w:ascii="Times New Roman" w:hAnsi="Times New Roman" w:eastAsia="楷体_GB2312" w:cs="Times New Roman"/>
          <w:szCs w:val="32"/>
        </w:rPr>
      </w:pPr>
      <w:bookmarkStart w:id="42" w:name="_Toc15968"/>
      <w:r>
        <w:rPr>
          <w:rFonts w:hint="default" w:ascii="Times New Roman" w:hAnsi="Times New Roman" w:eastAsia="楷体_GB2312" w:cs="Times New Roman"/>
          <w:szCs w:val="32"/>
        </w:rPr>
        <w:t>（九）建功兴城工程</w:t>
      </w:r>
      <w:bookmarkEnd w:id="42"/>
    </w:p>
    <w:p w14:paraId="13A29FC3">
      <w:pPr>
        <w:widowControl/>
        <w:ind w:firstLine="616"/>
        <w:rPr>
          <w:rFonts w:hint="default" w:ascii="Times New Roman" w:hAnsi="Times New Roman" w:cs="Times New Roman"/>
          <w:szCs w:val="32"/>
        </w:rPr>
      </w:pPr>
      <w:r>
        <w:rPr>
          <w:rFonts w:hint="default" w:ascii="Times New Roman" w:hAnsi="Times New Roman" w:cs="Times New Roman"/>
          <w:szCs w:val="32"/>
        </w:rPr>
        <w:t>常态化开展“共青团与人大代表、政协委员面对面”“联青大走访”“青年有新‘议’”等活动，为青年参与畅通渠道、搭建平台。加大社会领域青年人才培育举荐力度，凝聚快递、外卖、网约车等新兴行业青年群体。扎实开展“社区青年干事”项目，动态扩充履职项目清单，推动青年有序参与基层治理。倾力打造互动式“青年议事会”，扩大“青春信箱”布点范围，广泛收集青年心声，高效响应青年诉求。建立“太青新”新就业群体联络站，组建“小哥巡逻队”“小哥急救队”，实行“一新一议”议事制度，将快递员、外卖配送员、网约车司机等新就业群体纳入社区治理网络，增进不同青年群体的交流、联系与融合。有序引导青年社会组织规范发展，支持其参与公共服务、社区营造、应急响应等，构建青年组织与社区共建共治共享新格局。全面升级“娄城小太young”青年志愿服务品牌内涵，每年招募1000名青年志愿者参与服务，重点围绕“一老一小”关爱照护、大型赛事保障、社区环境微更新等领域，设计和孵化一批可复制、可持续的“志愿服务+公益创业”融合型项目。实施“大学生志愿服务乡村振兴计划”，选派大学毕业生到乡村开展志愿服务。结合美丽太仓建设，组织青年志愿者定期开展乡村环境整治行动。</w:t>
      </w:r>
    </w:p>
    <w:p w14:paraId="60D7BE00">
      <w:pPr>
        <w:widowControl/>
        <w:ind w:firstLine="616"/>
        <w:outlineLvl w:val="1"/>
        <w:rPr>
          <w:rFonts w:hint="default" w:ascii="Times New Roman" w:hAnsi="Times New Roman" w:eastAsia="楷体_GB2312" w:cs="Times New Roman"/>
          <w:szCs w:val="32"/>
        </w:rPr>
      </w:pPr>
      <w:bookmarkStart w:id="43" w:name="_Toc20893"/>
      <w:r>
        <w:rPr>
          <w:rFonts w:hint="default" w:ascii="Times New Roman" w:hAnsi="Times New Roman" w:eastAsia="楷体_GB2312" w:cs="Times New Roman"/>
          <w:szCs w:val="32"/>
        </w:rPr>
        <w:t>（十）暖心守护工程</w:t>
      </w:r>
      <w:bookmarkEnd w:id="43"/>
    </w:p>
    <w:p w14:paraId="4FA0EEC0">
      <w:pPr>
        <w:ind w:firstLine="616"/>
        <w:rPr>
          <w:rFonts w:hint="default" w:ascii="Times New Roman" w:hAnsi="Times New Roman" w:cs="Times New Roman"/>
          <w:szCs w:val="32"/>
        </w:rPr>
      </w:pPr>
      <w:r>
        <w:rPr>
          <w:rFonts w:hint="default" w:ascii="Times New Roman" w:hAnsi="Times New Roman" w:cs="Times New Roman"/>
          <w:szCs w:val="32"/>
        </w:rPr>
        <w:t>持续聚力服务民生，高质量推进青少年假期托育服务、“暖冬行动”“梦想改造+”等服务项目，护航青少年成长。加强青少年心理健康教育、禁毒教育和生命教育，开展家庭教育指导、中高考减压等公益服务，推动青少年法治自护教育工作从“治疗”向“预防”转变。持续开展好“青春自护”“检爱护航”等青少年法治项目，切实预防和减少青少年违法犯罪。开展困境未成年人救助保护个案服务、儿童福利业务工作培训、“童舟共济”关爱困境儿童慈善公益服务项目，实现帮扶资源和需求的有效对接。推进儿童福利机构、未成年人救助保护中心、儿童关爱之家（未成年人保护工作站）等困境青少年服务阵地提档升级，明确标准化建设要求，推动“五社联动”等资源共建共驻，加强青年社会组织和社工人才队伍培育，打通关爱困境青少年“最后一公里”。持续开展清理整顿人力资源市场秩序专项行动，加强对用人单位和人力资源服务机构招聘行为监管，坚决防止和纠正性别、年龄、学历等就业歧视。推动“菁英小镇”建设，将城市基本公共服务覆盖到务工人群集宿区。</w:t>
      </w:r>
    </w:p>
    <w:p w14:paraId="6BF4130A">
      <w:pPr>
        <w:pStyle w:val="2"/>
        <w:spacing w:line="580" w:lineRule="exact"/>
        <w:ind w:firstLine="616"/>
        <w:rPr>
          <w:rFonts w:hint="default" w:ascii="Times New Roman" w:hAnsi="Times New Roman" w:cs="Times New Roman"/>
        </w:rPr>
      </w:pPr>
      <w:bookmarkStart w:id="44" w:name="_Toc12204"/>
      <w:r>
        <w:rPr>
          <w:rFonts w:hint="default" w:ascii="Times New Roman" w:hAnsi="Times New Roman" w:cs="Times New Roman"/>
        </w:rPr>
        <w:t>九、组织实施</w:t>
      </w:r>
      <w:bookmarkEnd w:id="44"/>
    </w:p>
    <w:p w14:paraId="0D8B57EE">
      <w:pPr>
        <w:ind w:firstLine="616"/>
        <w:rPr>
          <w:rFonts w:hint="default" w:ascii="Times New Roman" w:hAnsi="Times New Roman" w:cs="Times New Roman"/>
          <w:szCs w:val="32"/>
        </w:rPr>
      </w:pPr>
      <w:r>
        <w:rPr>
          <w:rFonts w:hint="default" w:ascii="Times New Roman" w:hAnsi="Times New Roman" w:eastAsia="楷体_GB2312" w:cs="Times New Roman"/>
          <w:szCs w:val="32"/>
        </w:rPr>
        <w:t xml:space="preserve">1. </w:t>
      </w:r>
      <w:r>
        <w:rPr>
          <w:rFonts w:hint="default" w:ascii="Times New Roman" w:hAnsi="Times New Roman" w:cs="Times New Roman"/>
          <w:b/>
          <w:bCs/>
          <w:szCs w:val="32"/>
        </w:rPr>
        <w:t>加强对规划实施工作的组织领导</w:t>
      </w:r>
      <w:r>
        <w:rPr>
          <w:rFonts w:hint="default" w:ascii="Times New Roman" w:hAnsi="Times New Roman" w:eastAsia="楷体_GB2312" w:cs="Times New Roman"/>
          <w:szCs w:val="32"/>
        </w:rPr>
        <w:t>。</w:t>
      </w:r>
      <w:r>
        <w:rPr>
          <w:rFonts w:hint="default" w:ascii="Times New Roman" w:hAnsi="Times New Roman" w:cs="Times New Roman"/>
          <w:szCs w:val="32"/>
        </w:rPr>
        <w:t>在市委领导下，坚持党管青年原则，健全党委领导、政府负责、共青团协调、各部门齐抓共管、全社会广泛参与的青年发展工作机制，</w:t>
      </w:r>
      <w:r>
        <w:rPr>
          <w:rFonts w:hint="default" w:ascii="Times New Roman" w:hAnsi="Times New Roman" w:cs="Times New Roman"/>
          <w:szCs w:val="32"/>
          <w:lang w:val="en-US" w:eastAsia="zh-CN"/>
        </w:rPr>
        <w:t>各地各部门</w:t>
      </w:r>
      <w:r>
        <w:rPr>
          <w:rFonts w:hint="default" w:ascii="Times New Roman" w:hAnsi="Times New Roman" w:cs="Times New Roman"/>
          <w:szCs w:val="32"/>
        </w:rPr>
        <w:t>要根据实际落实分工，将规划中的重要指标和主要任务列入本单位规划和工作计划，强化落实。</w:t>
      </w:r>
    </w:p>
    <w:p w14:paraId="35B8EB27">
      <w:pPr>
        <w:ind w:firstLine="616"/>
        <w:rPr>
          <w:rFonts w:hint="default" w:ascii="Times New Roman" w:hAnsi="Times New Roman" w:cs="Times New Roman"/>
          <w:szCs w:val="32"/>
        </w:rPr>
      </w:pPr>
      <w:r>
        <w:rPr>
          <w:rFonts w:hint="default" w:ascii="Times New Roman" w:hAnsi="Times New Roman" w:eastAsia="楷体_GB2312" w:cs="Times New Roman"/>
          <w:szCs w:val="32"/>
        </w:rPr>
        <w:t xml:space="preserve">2. </w:t>
      </w:r>
      <w:r>
        <w:rPr>
          <w:rFonts w:hint="default" w:ascii="Times New Roman" w:hAnsi="Times New Roman" w:cs="Times New Roman"/>
          <w:b/>
          <w:bCs/>
          <w:szCs w:val="32"/>
        </w:rPr>
        <w:t>保障青年发展与人力资源建设经费投入</w:t>
      </w:r>
      <w:r>
        <w:rPr>
          <w:rFonts w:hint="default" w:ascii="Times New Roman" w:hAnsi="Times New Roman" w:eastAsia="楷体_GB2312" w:cs="Times New Roman"/>
          <w:szCs w:val="32"/>
        </w:rPr>
        <w:t>。</w:t>
      </w:r>
      <w:r>
        <w:rPr>
          <w:rFonts w:hint="default" w:ascii="Times New Roman" w:hAnsi="Times New Roman" w:cs="Times New Roman"/>
          <w:szCs w:val="32"/>
          <w:lang w:val="en-US" w:eastAsia="zh-CN"/>
        </w:rPr>
        <w:t>各地各部门</w:t>
      </w:r>
      <w:r>
        <w:rPr>
          <w:rFonts w:hint="default" w:ascii="Times New Roman" w:hAnsi="Times New Roman" w:cs="Times New Roman"/>
          <w:szCs w:val="32"/>
        </w:rPr>
        <w:t>要将本规划实施所需经费纳入财政预算，统筹相关资金用于青年事务、青年人才引育留用及提升人力资源服务能力的重大项目建设，不断完善支持青年发展事业的财政政策。加强政府引导，充分发挥各类服务青年发展的社会团体、基金会等积极作用，形成多方投入的资金筹措机制。对各类从事青年服务的事业单位、社会组织以及各类公益性青年教育阵地和场所等，按照国家有关规定给予一定资金扶持。加强资金管理，严格资金使用评估，确保取得实效。</w:t>
      </w:r>
    </w:p>
    <w:p w14:paraId="1221F8A9">
      <w:pPr>
        <w:ind w:firstLine="616"/>
        <w:rPr>
          <w:rFonts w:hint="default" w:ascii="Times New Roman" w:hAnsi="Times New Roman" w:cs="Times New Roman"/>
          <w:szCs w:val="32"/>
        </w:rPr>
      </w:pPr>
      <w:r>
        <w:rPr>
          <w:rFonts w:hint="default" w:ascii="Times New Roman" w:hAnsi="Times New Roman" w:eastAsia="楷体_GB2312" w:cs="Times New Roman"/>
          <w:szCs w:val="32"/>
        </w:rPr>
        <w:t xml:space="preserve">3. </w:t>
      </w:r>
      <w:r>
        <w:rPr>
          <w:rFonts w:hint="default" w:ascii="Times New Roman" w:hAnsi="Times New Roman" w:cs="Times New Roman"/>
          <w:b/>
          <w:bCs/>
          <w:szCs w:val="32"/>
        </w:rPr>
        <w:t>营造规划实施的良好社会环境</w:t>
      </w:r>
      <w:r>
        <w:rPr>
          <w:rFonts w:hint="default" w:ascii="Times New Roman" w:hAnsi="Times New Roman" w:eastAsia="楷体_GB2312" w:cs="Times New Roman"/>
          <w:szCs w:val="32"/>
        </w:rPr>
        <w:t>。</w:t>
      </w:r>
      <w:r>
        <w:rPr>
          <w:rFonts w:hint="default" w:ascii="Times New Roman" w:hAnsi="Times New Roman" w:cs="Times New Roman"/>
          <w:szCs w:val="32"/>
        </w:rPr>
        <w:t>学习贯彻习近平总书记关于青年工作的重要思想，认真落实党和国家关于青年工作的方针政策，宣传关心青年就是关心未来的理念，及时宣传推广太仓青年先进典型和成功经验，营造关心、支持青年发展的良好氛围，形成推动本规划实施的强大合力。</w:t>
      </w:r>
    </w:p>
    <w:p w14:paraId="3C4D156E">
      <w:pPr>
        <w:ind w:firstLine="616"/>
        <w:rPr>
          <w:rFonts w:hint="default" w:ascii="Times New Roman" w:hAnsi="Times New Roman" w:cs="Times New Roman"/>
          <w:spacing w:val="0"/>
          <w:sz w:val="28"/>
          <w:szCs w:val="28"/>
        </w:rPr>
      </w:pPr>
      <w:r>
        <w:rPr>
          <w:rFonts w:hint="default" w:ascii="Times New Roman" w:hAnsi="Times New Roman" w:eastAsia="楷体_GB2312" w:cs="Times New Roman"/>
          <w:szCs w:val="32"/>
        </w:rPr>
        <w:t xml:space="preserve">4. </w:t>
      </w:r>
      <w:r>
        <w:rPr>
          <w:rFonts w:hint="default" w:ascii="Times New Roman" w:hAnsi="Times New Roman" w:cs="Times New Roman"/>
          <w:b/>
          <w:bCs/>
          <w:szCs w:val="32"/>
          <w:lang w:val="en-US" w:eastAsia="zh-CN"/>
        </w:rPr>
        <w:t>强化对</w:t>
      </w:r>
      <w:r>
        <w:rPr>
          <w:rFonts w:hint="default" w:ascii="Times New Roman" w:hAnsi="Times New Roman" w:cs="Times New Roman"/>
          <w:b/>
          <w:bCs/>
          <w:szCs w:val="32"/>
        </w:rPr>
        <w:t>规划的实施评估和动态管理。</w:t>
      </w:r>
      <w:r>
        <w:rPr>
          <w:rFonts w:hint="default" w:ascii="Times New Roman" w:hAnsi="Times New Roman" w:cs="Times New Roman"/>
          <w:b w:val="0"/>
          <w:bCs w:val="0"/>
          <w:szCs w:val="32"/>
        </w:rPr>
        <w:t>完善青年发展状况指标监测体系，推动指标监测的科学化、规范化、标准化。对获取数据定期统计分析，动态掌握规划目标实现程度。强化对规划重大事项和重点事项的跟踪监测，按期形成评估报告，提升规划落实工作实效。</w:t>
      </w:r>
    </w:p>
    <w:sectPr>
      <w:footerReference r:id="rId12" w:type="default"/>
      <w:pgSz w:w="11906" w:h="16838"/>
      <w:pgMar w:top="2041" w:right="1474" w:bottom="1928"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16"/>
      </w:pPr>
      <w:r>
        <w:separator/>
      </w:r>
    </w:p>
  </w:endnote>
  <w:endnote w:type="continuationSeparator" w:id="1">
    <w:p>
      <w:pPr>
        <w:spacing w:line="240" w:lineRule="auto"/>
        <w:ind w:firstLine="61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0C42B">
    <w:pPr>
      <w:pStyle w:val="4"/>
      <w:ind w:firstLine="3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F3E37">
    <w:pPr>
      <w:pStyle w:val="4"/>
      <w:ind w:firstLine="3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CD632">
    <w:pPr>
      <w:pStyle w:val="4"/>
      <w:ind w:firstLine="3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EA106">
    <w:pPr>
      <w:pStyle w:val="4"/>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010AAE">
                          <w:pPr>
                            <w:pStyle w:val="4"/>
                            <w:ind w:firstLine="36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5010AAE">
                    <w:pPr>
                      <w:pStyle w:val="4"/>
                      <w:ind w:firstLine="36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4D063">
    <w:pPr>
      <w:pStyle w:val="4"/>
      <w:ind w:firstLine="360"/>
    </w:pPr>
    <w:r>
      <mc:AlternateContent>
        <mc:Choice Requires="wps">
          <w:drawing>
            <wp:anchor distT="0" distB="0" distL="114300" distR="114300" simplePos="0" relativeHeight="251660288" behindDoc="0" locked="0" layoutInCell="1" allowOverlap="1">
              <wp:simplePos x="0" y="0"/>
              <wp:positionH relativeFrom="margin">
                <wp:posOffset>2427605</wp:posOffset>
              </wp:positionH>
              <wp:positionV relativeFrom="paragraph">
                <wp:posOffset>-1270</wp:posOffset>
              </wp:positionV>
              <wp:extent cx="775335" cy="742950"/>
              <wp:effectExtent l="0" t="0" r="0" b="0"/>
              <wp:wrapNone/>
              <wp:docPr id="3" name="文本框 3"/>
              <wp:cNvGraphicFramePr/>
              <a:graphic xmlns:a="http://schemas.openxmlformats.org/drawingml/2006/main">
                <a:graphicData uri="http://schemas.microsoft.com/office/word/2010/wordprocessingShape">
                  <wps:wsp>
                    <wps:cNvSpPr txBox="1"/>
                    <wps:spPr>
                      <a:xfrm>
                        <a:off x="0" y="0"/>
                        <a:ext cx="775335" cy="742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FDEC5">
                          <w:pPr>
                            <w:pStyle w:val="4"/>
                            <w:ind w:left="0" w:leftChars="0" w:firstLine="0" w:firstLineChars="0"/>
                            <w:jc w:val="center"/>
                            <w:rPr>
                              <w:sz w:val="28"/>
                              <w:szCs w:val="40"/>
                            </w:rPr>
                          </w:pPr>
                          <w:r>
                            <w:rPr>
                              <w:sz w:val="28"/>
                              <w:szCs w:val="40"/>
                            </w:rPr>
                            <w:t xml:space="preserve">— </w:t>
                          </w:r>
                          <w:r>
                            <w:rPr>
                              <w:sz w:val="28"/>
                              <w:szCs w:val="40"/>
                            </w:rPr>
                            <w:fldChar w:fldCharType="begin"/>
                          </w:r>
                          <w:r>
                            <w:rPr>
                              <w:sz w:val="28"/>
                              <w:szCs w:val="40"/>
                            </w:rPr>
                            <w:instrText xml:space="preserve"> PAGE  \* MERGEFORMAT </w:instrText>
                          </w:r>
                          <w:r>
                            <w:rPr>
                              <w:sz w:val="28"/>
                              <w:szCs w:val="40"/>
                            </w:rPr>
                            <w:fldChar w:fldCharType="separate"/>
                          </w:r>
                          <w:r>
                            <w:rPr>
                              <w:sz w:val="28"/>
                              <w:szCs w:val="40"/>
                            </w:rPr>
                            <w:t>1</w:t>
                          </w:r>
                          <w:r>
                            <w:rPr>
                              <w:sz w:val="28"/>
                              <w:szCs w:val="40"/>
                            </w:rPr>
                            <w:fldChar w:fldCharType="end"/>
                          </w:r>
                          <w:r>
                            <w:rPr>
                              <w:sz w:val="28"/>
                              <w:szCs w:val="40"/>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91.15pt;margin-top:-0.1pt;height:58.5pt;width:61.05pt;mso-position-horizontal-relative:margin;z-index:251660288;mso-width-relative:page;mso-height-relative:page;" filled="f" stroked="f" coordsize="21600,21600" o:gfxdata="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G6pCnYAAAACQEAAA8AAAAAAAAAAQAgAAAAIgAAAGRycy9kb3ducmV2Lnht&#10;bFBLAQIUABQAAAAIAIdO4kBTp38AMgIAAFUEAAAOAAAAAAAAAAEAIAAAACcBAABkcnMvZTJvRG9j&#10;LnhtbFBLBQYAAAAABgAGAFkBAADLBQAAAAA=&#10;">
              <v:fill on="f" focussize="0,0"/>
              <v:stroke on="f" weight="0.5pt"/>
              <v:imagedata o:title=""/>
              <o:lock v:ext="edit" aspectratio="f"/>
              <v:textbox inset="0mm,0mm,0mm,0mm">
                <w:txbxContent>
                  <w:p w14:paraId="26EFDEC5">
                    <w:pPr>
                      <w:pStyle w:val="4"/>
                      <w:ind w:left="0" w:leftChars="0" w:firstLine="0" w:firstLineChars="0"/>
                      <w:jc w:val="center"/>
                      <w:rPr>
                        <w:sz w:val="28"/>
                        <w:szCs w:val="40"/>
                      </w:rPr>
                    </w:pPr>
                    <w:r>
                      <w:rPr>
                        <w:sz w:val="28"/>
                        <w:szCs w:val="40"/>
                      </w:rPr>
                      <w:t xml:space="preserve">— </w:t>
                    </w:r>
                    <w:r>
                      <w:rPr>
                        <w:sz w:val="28"/>
                        <w:szCs w:val="40"/>
                      </w:rPr>
                      <w:fldChar w:fldCharType="begin"/>
                    </w:r>
                    <w:r>
                      <w:rPr>
                        <w:sz w:val="28"/>
                        <w:szCs w:val="40"/>
                      </w:rPr>
                      <w:instrText xml:space="preserve"> PAGE  \* MERGEFORMAT </w:instrText>
                    </w:r>
                    <w:r>
                      <w:rPr>
                        <w:sz w:val="28"/>
                        <w:szCs w:val="40"/>
                      </w:rPr>
                      <w:fldChar w:fldCharType="separate"/>
                    </w:r>
                    <w:r>
                      <w:rPr>
                        <w:sz w:val="28"/>
                        <w:szCs w:val="40"/>
                      </w:rPr>
                      <w:t>1</w:t>
                    </w:r>
                    <w:r>
                      <w:rPr>
                        <w:sz w:val="28"/>
                        <w:szCs w:val="40"/>
                      </w:rPr>
                      <w:fldChar w:fldCharType="end"/>
                    </w:r>
                    <w:r>
                      <w:rPr>
                        <w:sz w:val="28"/>
                        <w:szCs w:val="40"/>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16"/>
      </w:pPr>
      <w:r>
        <w:separator/>
      </w:r>
    </w:p>
  </w:footnote>
  <w:footnote w:type="continuationSeparator" w:id="1">
    <w:p>
      <w:pPr>
        <w:spacing w:line="240" w:lineRule="auto"/>
        <w:ind w:firstLine="616"/>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0435D">
    <w:pPr>
      <w:pStyle w:val="5"/>
      <w:ind w:firstLine="33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2292A">
    <w:pPr>
      <w:pStyle w:val="5"/>
      <w:ind w:firstLine="33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EEE16">
    <w:pPr>
      <w:pStyle w:val="5"/>
      <w:ind w:firstLine="33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32E"/>
    <w:rsid w:val="00064D2F"/>
    <w:rsid w:val="00191B55"/>
    <w:rsid w:val="004C380E"/>
    <w:rsid w:val="00602FA4"/>
    <w:rsid w:val="0070738A"/>
    <w:rsid w:val="00B9632E"/>
    <w:rsid w:val="00BA5033"/>
    <w:rsid w:val="00C26899"/>
    <w:rsid w:val="00D0512F"/>
    <w:rsid w:val="021B1804"/>
    <w:rsid w:val="024A32BB"/>
    <w:rsid w:val="03847989"/>
    <w:rsid w:val="038A25F9"/>
    <w:rsid w:val="040D591C"/>
    <w:rsid w:val="04F40DFB"/>
    <w:rsid w:val="05B31939"/>
    <w:rsid w:val="060A2B37"/>
    <w:rsid w:val="07292F15"/>
    <w:rsid w:val="07846626"/>
    <w:rsid w:val="07B12CD3"/>
    <w:rsid w:val="07D82C4C"/>
    <w:rsid w:val="07DB6D8F"/>
    <w:rsid w:val="08361679"/>
    <w:rsid w:val="0842030D"/>
    <w:rsid w:val="084542FA"/>
    <w:rsid w:val="088169DD"/>
    <w:rsid w:val="088317E0"/>
    <w:rsid w:val="09060020"/>
    <w:rsid w:val="09EA45B6"/>
    <w:rsid w:val="0A631691"/>
    <w:rsid w:val="0AC12EB8"/>
    <w:rsid w:val="0B30506A"/>
    <w:rsid w:val="0B9114DE"/>
    <w:rsid w:val="0BCD4D32"/>
    <w:rsid w:val="0C246C16"/>
    <w:rsid w:val="0C254EB6"/>
    <w:rsid w:val="0C692496"/>
    <w:rsid w:val="0CC65A25"/>
    <w:rsid w:val="0DDA6A51"/>
    <w:rsid w:val="0E574695"/>
    <w:rsid w:val="0E6B1786"/>
    <w:rsid w:val="0F182768"/>
    <w:rsid w:val="0F3560C1"/>
    <w:rsid w:val="0FEA0D06"/>
    <w:rsid w:val="10233173"/>
    <w:rsid w:val="10952892"/>
    <w:rsid w:val="10F55AEE"/>
    <w:rsid w:val="115F642C"/>
    <w:rsid w:val="11CB5870"/>
    <w:rsid w:val="12237261"/>
    <w:rsid w:val="128B4FFF"/>
    <w:rsid w:val="12FF324E"/>
    <w:rsid w:val="13B52C94"/>
    <w:rsid w:val="141D6DBF"/>
    <w:rsid w:val="14D970F9"/>
    <w:rsid w:val="14E530ED"/>
    <w:rsid w:val="15485AA9"/>
    <w:rsid w:val="158A77F0"/>
    <w:rsid w:val="15A33BBF"/>
    <w:rsid w:val="16307B27"/>
    <w:rsid w:val="1649210B"/>
    <w:rsid w:val="169235FD"/>
    <w:rsid w:val="16AE11E8"/>
    <w:rsid w:val="179670F4"/>
    <w:rsid w:val="17F37885"/>
    <w:rsid w:val="184218CF"/>
    <w:rsid w:val="19187028"/>
    <w:rsid w:val="193A5426"/>
    <w:rsid w:val="193B1DD4"/>
    <w:rsid w:val="19DB6C2B"/>
    <w:rsid w:val="1AAC29CD"/>
    <w:rsid w:val="1B2F0255"/>
    <w:rsid w:val="1B6B1E72"/>
    <w:rsid w:val="1CE156AE"/>
    <w:rsid w:val="1DB203F5"/>
    <w:rsid w:val="1DED0360"/>
    <w:rsid w:val="1EDC02C9"/>
    <w:rsid w:val="1F065BCA"/>
    <w:rsid w:val="205A4AEA"/>
    <w:rsid w:val="210A410E"/>
    <w:rsid w:val="21C267AA"/>
    <w:rsid w:val="21FF7E4E"/>
    <w:rsid w:val="22A36823"/>
    <w:rsid w:val="23313C36"/>
    <w:rsid w:val="23C31C16"/>
    <w:rsid w:val="23C857C1"/>
    <w:rsid w:val="24E93CEE"/>
    <w:rsid w:val="258A5839"/>
    <w:rsid w:val="259F4AE8"/>
    <w:rsid w:val="25AE5B1F"/>
    <w:rsid w:val="26341DF0"/>
    <w:rsid w:val="26347509"/>
    <w:rsid w:val="26572ACD"/>
    <w:rsid w:val="26DF71D2"/>
    <w:rsid w:val="289160F1"/>
    <w:rsid w:val="28DB1EAB"/>
    <w:rsid w:val="28F40639"/>
    <w:rsid w:val="29C4002D"/>
    <w:rsid w:val="2A53244F"/>
    <w:rsid w:val="2A8B3997"/>
    <w:rsid w:val="2A9A0FFE"/>
    <w:rsid w:val="2B30453E"/>
    <w:rsid w:val="2B32746F"/>
    <w:rsid w:val="2BBA1A67"/>
    <w:rsid w:val="2CBB6FFF"/>
    <w:rsid w:val="2D5A7455"/>
    <w:rsid w:val="2D5C5ABE"/>
    <w:rsid w:val="2E311C6D"/>
    <w:rsid w:val="2EE10029"/>
    <w:rsid w:val="2EF54203"/>
    <w:rsid w:val="2F70503F"/>
    <w:rsid w:val="2F7075FF"/>
    <w:rsid w:val="2F726A97"/>
    <w:rsid w:val="2FB63264"/>
    <w:rsid w:val="30AD59E2"/>
    <w:rsid w:val="31481E02"/>
    <w:rsid w:val="31916063"/>
    <w:rsid w:val="332A4F71"/>
    <w:rsid w:val="33843679"/>
    <w:rsid w:val="34807AB3"/>
    <w:rsid w:val="355A618B"/>
    <w:rsid w:val="366C42F2"/>
    <w:rsid w:val="36EE3C2B"/>
    <w:rsid w:val="38D147F0"/>
    <w:rsid w:val="397D7552"/>
    <w:rsid w:val="3A43428E"/>
    <w:rsid w:val="3AFE59C7"/>
    <w:rsid w:val="3BE91819"/>
    <w:rsid w:val="3CB0164D"/>
    <w:rsid w:val="3CB13731"/>
    <w:rsid w:val="3D7536B9"/>
    <w:rsid w:val="3E6F0287"/>
    <w:rsid w:val="3F001945"/>
    <w:rsid w:val="3F5747B1"/>
    <w:rsid w:val="41173D7E"/>
    <w:rsid w:val="41456A9F"/>
    <w:rsid w:val="42B37AD7"/>
    <w:rsid w:val="446077EA"/>
    <w:rsid w:val="458D460F"/>
    <w:rsid w:val="46277AAC"/>
    <w:rsid w:val="464B2D8C"/>
    <w:rsid w:val="47A638A7"/>
    <w:rsid w:val="48EF1E25"/>
    <w:rsid w:val="496F0BFB"/>
    <w:rsid w:val="49865634"/>
    <w:rsid w:val="49A14B2D"/>
    <w:rsid w:val="4A1E156A"/>
    <w:rsid w:val="4A442B1E"/>
    <w:rsid w:val="4D812CAB"/>
    <w:rsid w:val="4D865F70"/>
    <w:rsid w:val="4DC42B98"/>
    <w:rsid w:val="4E1468D6"/>
    <w:rsid w:val="4E6E427E"/>
    <w:rsid w:val="4F9805B4"/>
    <w:rsid w:val="502A587C"/>
    <w:rsid w:val="503D3A15"/>
    <w:rsid w:val="51B03FFD"/>
    <w:rsid w:val="520743E1"/>
    <w:rsid w:val="524E455C"/>
    <w:rsid w:val="52754F46"/>
    <w:rsid w:val="52E3720D"/>
    <w:rsid w:val="52E837B7"/>
    <w:rsid w:val="52FE5265"/>
    <w:rsid w:val="534B66AF"/>
    <w:rsid w:val="53D65C70"/>
    <w:rsid w:val="54597E8D"/>
    <w:rsid w:val="54A47786"/>
    <w:rsid w:val="55BF5531"/>
    <w:rsid w:val="56091A90"/>
    <w:rsid w:val="572A1F1D"/>
    <w:rsid w:val="574F377C"/>
    <w:rsid w:val="57E04189"/>
    <w:rsid w:val="58306EC5"/>
    <w:rsid w:val="59A41358"/>
    <w:rsid w:val="5A6759CC"/>
    <w:rsid w:val="5AB850A6"/>
    <w:rsid w:val="5ABF705A"/>
    <w:rsid w:val="5ACE02C0"/>
    <w:rsid w:val="5C2312BC"/>
    <w:rsid w:val="607457FF"/>
    <w:rsid w:val="60DA6073"/>
    <w:rsid w:val="61B03EFF"/>
    <w:rsid w:val="627F4D57"/>
    <w:rsid w:val="63721ED3"/>
    <w:rsid w:val="64E51C04"/>
    <w:rsid w:val="651A5A67"/>
    <w:rsid w:val="655D5954"/>
    <w:rsid w:val="65A74E21"/>
    <w:rsid w:val="65CE469F"/>
    <w:rsid w:val="679659BF"/>
    <w:rsid w:val="680F774C"/>
    <w:rsid w:val="692C15DF"/>
    <w:rsid w:val="696C7295"/>
    <w:rsid w:val="6A610F10"/>
    <w:rsid w:val="6CC845FD"/>
    <w:rsid w:val="6CD5107F"/>
    <w:rsid w:val="6E165E42"/>
    <w:rsid w:val="6E3D33F0"/>
    <w:rsid w:val="6EA463A2"/>
    <w:rsid w:val="6ECF2E59"/>
    <w:rsid w:val="709753F8"/>
    <w:rsid w:val="70B236A2"/>
    <w:rsid w:val="71036B8E"/>
    <w:rsid w:val="71E80569"/>
    <w:rsid w:val="71EE4362"/>
    <w:rsid w:val="732F3B04"/>
    <w:rsid w:val="740B140D"/>
    <w:rsid w:val="74724945"/>
    <w:rsid w:val="74DA2B1D"/>
    <w:rsid w:val="757C3BD5"/>
    <w:rsid w:val="772F1999"/>
    <w:rsid w:val="775A0D5E"/>
    <w:rsid w:val="77D5581E"/>
    <w:rsid w:val="77F87220"/>
    <w:rsid w:val="794F188E"/>
    <w:rsid w:val="7A266D6A"/>
    <w:rsid w:val="7A7E5FFB"/>
    <w:rsid w:val="7CB54029"/>
    <w:rsid w:val="7EC91B47"/>
    <w:rsid w:val="7EE06624"/>
    <w:rsid w:val="7F005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420" w:firstLineChars="200"/>
      <w:jc w:val="both"/>
    </w:pPr>
    <w:rPr>
      <w:rFonts w:ascii="Times New Roman" w:hAnsi="Times New Roman" w:eastAsia="仿宋_GB2312" w:cstheme="minorBidi"/>
      <w:spacing w:val="-6"/>
      <w:kern w:val="2"/>
      <w:sz w:val="32"/>
      <w:szCs w:val="22"/>
      <w:lang w:val="en-US" w:eastAsia="zh-CN" w:bidi="ar-SA"/>
    </w:rPr>
  </w:style>
  <w:style w:type="paragraph" w:styleId="2">
    <w:name w:val="heading 1"/>
    <w:basedOn w:val="1"/>
    <w:next w:val="1"/>
    <w:qFormat/>
    <w:uiPriority w:val="9"/>
    <w:pPr>
      <w:widowControl/>
      <w:spacing w:before="156" w:beforeLines="50" w:after="156" w:afterLines="50" w:line="360" w:lineRule="auto"/>
      <w:ind w:firstLine="640"/>
      <w:outlineLvl w:val="0"/>
    </w:pPr>
    <w:rPr>
      <w:rFonts w:ascii="黑体" w:hAnsi="黑体" w:eastAsia="黑体" w:cs="Times New Roman"/>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6">
    <w:name w:val="toc 1"/>
    <w:basedOn w:val="1"/>
    <w:next w:val="1"/>
    <w:unhideWhenUsed/>
    <w:qFormat/>
    <w:uiPriority w:val="39"/>
    <w:pPr>
      <w:tabs>
        <w:tab w:val="right" w:leader="dot" w:pos="8296"/>
      </w:tabs>
    </w:pPr>
    <w:rPr>
      <w:rFonts w:ascii="仿宋" w:hAnsi="仿宋" w:eastAsia="仿宋"/>
    </w:rPr>
  </w:style>
  <w:style w:type="paragraph" w:styleId="7">
    <w:name w:val="toc 2"/>
    <w:basedOn w:val="1"/>
    <w:next w:val="1"/>
    <w:unhideWhenUsed/>
    <w:qFormat/>
    <w:uiPriority w:val="39"/>
    <w:pPr>
      <w:tabs>
        <w:tab w:val="right" w:leader="dot" w:pos="8296"/>
      </w:tabs>
      <w:spacing w:line="480" w:lineRule="exact"/>
      <w:ind w:left="480" w:leftChars="200"/>
    </w:pPr>
    <w:rPr>
      <w:rFonts w:ascii="仿宋" w:hAnsi="仿宋" w:eastAsia="仿宋"/>
      <w:sz w:val="28"/>
      <w:szCs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026E5" w:themeColor="hyperlink"/>
      <w:u w:val="single"/>
      <w14:textFill>
        <w14:solidFill>
          <w14:schemeClr w14:val="hlink"/>
        </w14:solidFill>
      </w14:textFill>
    </w:rPr>
  </w:style>
  <w:style w:type="paragraph" w:customStyle="1" w:styleId="12">
    <w:name w:val="TOC 标题1"/>
    <w:basedOn w:val="2"/>
    <w:next w:val="1"/>
    <w:unhideWhenUsed/>
    <w:qFormat/>
    <w:uiPriority w:val="39"/>
    <w:pPr>
      <w:shd w:val="clear" w:color="auto" w:fill="FFFFFF"/>
      <w:spacing w:before="480" w:line="276" w:lineRule="auto"/>
      <w:jc w:val="left"/>
      <w:outlineLvl w:val="9"/>
    </w:pPr>
    <w:rPr>
      <w:rFonts w:asciiTheme="majorHAnsi" w:hAnsiTheme="majorHAnsi" w:eastAsiaTheme="majorEastAsia" w:cstheme="majorBidi"/>
      <w:b/>
      <w:bCs/>
      <w:color w:val="2E54A1" w:themeColor="accent1" w:themeShade="BF"/>
      <w:spacing w:val="8"/>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10b9c004-c876-4a16-9059-d6d7c72ef4ca</errorID>
      <errorWord>市</errorWord>
      <group>L1_Word</group>
      <groupName>字词问题</groupName>
      <ability>L2_Typo</ability>
      <abilityName>字词错误</abilityName>
      <candidateList>
        <item>市第</item>
      </candidateList>
      <explain/>
      <paraID>1BAD915B</paraID>
      <start>107</start>
      <end>109</end>
      <status>modified</status>
      <modifiedWord>市第</modifiedWord>
      <trackRevisions>false</trackRevisions>
    </reviewItem>
    <reviewItem>
      <errorID>2db44314-c70c-4bfd-94ee-e64954cb2555</errorID>
      <errorWord>二十大、</errorWord>
      <group>L1_Political</group>
      <groupName>政治性问题</groupName>
      <ability>L2_Unpolitical</ability>
      <abilityName>政治敏感错误</abilityName>
      <candidateList>
        <item>党的二十大、</item>
      </candidateList>
      <explain/>
      <paraID>466F3654</paraID>
      <start>7</start>
      <end>11</end>
      <status>ignored</status>
      <modifiedWord/>
      <trackRevisions>false</trackRevisions>
    </reviewItem>
    <reviewItem>
      <errorID>d8272ac5-f1cf-4975-875c-c61c5043a973</errorID>
      <errorWord>别</errorWord>
      <group>L1_Word</group>
      <groupName>字词问题</groupName>
      <ability>L2_Typo</ability>
      <abilityName>字词错误</abilityName>
      <candidateList>
        <item>别和</item>
      </candidateList>
      <explain/>
      <paraID>12B4E2C1</paraID>
      <start>421</start>
      <end>422</end>
      <status>ignored</status>
      <modifiedWord/>
      <trackRevisions>false</trackRevisions>
    </reviewItem>
    <reviewItem>
      <errorID>b250f6f9-e1d2-427d-92ae-ac83ca0b18e3</errorID>
      <errorWord>一刻钟幸福生活圈</errorWord>
      <group>L1_Political</group>
      <groupName>政治性问题</groupName>
      <ability>L2_Keyword</ability>
      <abilityName>固定表述</abilityName>
      <candidateList>
        <item>一刻钟便民生活圈</item>
      </candidateList>
      <explain>词汇“一刻钟便民生活圈”在特定场景下为固定表述形式，请确认此处的“一刻钟幸福生活圈”是否存在不当。</explain>
      <paraID>2988987A</paraID>
      <start>110</start>
      <end>118</end>
      <status>ignored</status>
      <modifiedWord/>
      <trackRevisions>false</trackRevisions>
    </reviewItem>
    <reviewItem>
      <errorID>bb88082d-fa2c-4ceb-8e62-ecb4783de8ee</errorID>
      <errorWord>府</errorWord>
      <group>L1_Word</group>
      <groupName>字词问题</groupName>
      <ability>L2_Typo</ability>
      <abilityName>字词错误</abilityName>
      <candidateList>
        <item>府要</item>
      </candidateList>
      <explain/>
      <paraID> D8B57EE</paraID>
      <start>77</start>
      <end>78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052c91-9ff3-4abd-926c-fda7a30bafc2}">
  <ds:schemaRefs/>
</ds:datastoreItem>
</file>

<file path=docProps/app.xml><?xml version="1.0" encoding="utf-8"?>
<Properties xmlns="http://schemas.openxmlformats.org/officeDocument/2006/extended-properties" xmlns:vt="http://schemas.openxmlformats.org/officeDocument/2006/docPropsVTypes">
  <Template>Normal.dotm</Template>
  <Pages>41</Pages>
  <Words>22333</Words>
  <Characters>22673</Characters>
  <Lines>185</Lines>
  <Paragraphs>52</Paragraphs>
  <TotalTime>10</TotalTime>
  <ScaleCrop>false</ScaleCrop>
  <LinksUpToDate>false</LinksUpToDate>
  <CharactersWithSpaces>22842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2024-12-31T06:37:00Z</dcterms:created>
  <dc:creator>tw</dc:creator>
  <cp:lastModifiedBy>团团</cp:lastModifiedBy>
  <cp:lastPrinted>2026-08-24T05:30:00Z</cp:lastPrinted>
  <dcterms:modified xsi:type="dcterms:W3CDTF">2026-09-29T03:01:39Z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2749728CE79B41B4999DB8F276D5CC1C_12</vt:lpwstr>
  </property>
  <property fmtid="{D5CDD505-2E9C-101B-9397-08002B2CF9AE}" pid="4" name="KSOTemplateDocerSaveRecord">
    <vt:lpwstr>eyJoZGlkIjoiM2Y2MjliZjA0MDQwYTBlYjVmYjg0YjQ1MThkYmY1MmMiLCJ1c2VySWQiOiIxMzA1NjU5Nzc0In0=</vt:lpwstr>
  </property>
</Properties>
</file>