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DB" w:rsidRDefault="00D51FDB" w:rsidP="00D51FD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5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D51FDB" w:rsidRPr="00B2712B" w:rsidRDefault="00D51FDB" w:rsidP="00D51FDB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期）</w:t>
      </w:r>
    </w:p>
    <w:p w:rsidR="00D51FDB" w:rsidRPr="001B5A58" w:rsidRDefault="00D51FDB" w:rsidP="00D51FD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2018年5月份（第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3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期）对全市</w:t>
      </w:r>
      <w:r w:rsidR="00A7539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餐饮食品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、食用农产品、</w:t>
      </w:r>
      <w:r w:rsidR="00A7539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糕点、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炒货及坚果制品进行了检测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41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</w:t>
      </w:r>
      <w:r w:rsidR="00EE07A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合格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6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85.4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D51FDB" w:rsidRPr="001B5A58" w:rsidRDefault="00D51FDB" w:rsidP="00D51FD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 w:rsidR="00A7539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 w:rsidR="00A7539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餐饮食品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不合格，不合格项目为</w:t>
      </w:r>
      <w:r w:rsidR="00A7539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铝的残留量；</w:t>
      </w:r>
      <w:r w:rsidR="00067FC2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1批糕点不合格，不合格项目为酸价；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另有</w:t>
      </w:r>
      <w:r w:rsidR="00067FC2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批炒货食品及坚果制品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分别为</w:t>
      </w:r>
      <w:r w:rsidR="00067FC2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大肠菌群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和过氧化值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</w:t>
      </w:r>
    </w:p>
    <w:p w:rsidR="00D51FDB" w:rsidRPr="001B5A58" w:rsidRDefault="00D51FDB" w:rsidP="00D51FD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本期抽检结论为不合格的产品，市食安办已移交相关部门依法进行调查处置。</w:t>
      </w:r>
    </w:p>
    <w:p w:rsidR="00D51FDB" w:rsidRPr="001B5A58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5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D51FDB" w:rsidRDefault="00D51FDB" w:rsidP="00D51FD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期）</w:t>
      </w:r>
    </w:p>
    <w:p w:rsidR="00D51FDB" w:rsidRPr="002A4975" w:rsidRDefault="00D51FDB" w:rsidP="00D51FDB">
      <w:pPr>
        <w:jc w:val="center"/>
        <w:rPr>
          <w:sz w:val="2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4"/>
        <w:gridCol w:w="2979"/>
        <w:gridCol w:w="994"/>
        <w:gridCol w:w="1555"/>
        <w:gridCol w:w="1273"/>
      </w:tblGrid>
      <w:tr w:rsidR="00D51FDB" w:rsidRPr="00817BA4" w:rsidTr="00D61C0A">
        <w:trPr>
          <w:trHeight w:hRule="exact" w:val="567"/>
        </w:trPr>
        <w:tc>
          <w:tcPr>
            <w:tcW w:w="1854" w:type="dxa"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979" w:type="dxa"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4" w:type="dxa"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55" w:type="dxa"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273" w:type="dxa"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D51FDB" w:rsidRPr="00817BA4" w:rsidTr="00D61C0A">
        <w:trPr>
          <w:trHeight w:val="567"/>
        </w:trPr>
        <w:tc>
          <w:tcPr>
            <w:tcW w:w="1854" w:type="dxa"/>
            <w:vMerge w:val="restart"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食用农产品（餐饮）</w:t>
            </w:r>
          </w:p>
        </w:tc>
        <w:tc>
          <w:tcPr>
            <w:tcW w:w="994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33</w:t>
            </w:r>
          </w:p>
        </w:tc>
        <w:tc>
          <w:tcPr>
            <w:tcW w:w="1555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85.4%</w:t>
            </w:r>
          </w:p>
        </w:tc>
      </w:tr>
      <w:tr w:rsidR="00D51FDB" w:rsidRPr="00817BA4" w:rsidTr="00D61C0A">
        <w:trPr>
          <w:trHeight w:val="567"/>
        </w:trPr>
        <w:tc>
          <w:tcPr>
            <w:tcW w:w="1854" w:type="dxa"/>
            <w:vMerge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D51FDB" w:rsidRDefault="00D51FDB" w:rsidP="00D61C0A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4" w:type="dxa"/>
            <w:vAlign w:val="center"/>
          </w:tcPr>
          <w:p w:rsidR="00D51FDB" w:rsidRDefault="00D51FDB" w:rsidP="00D61C0A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D51FDB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51FDB" w:rsidRPr="00817BA4" w:rsidTr="00D61C0A">
        <w:trPr>
          <w:trHeight w:val="567"/>
        </w:trPr>
        <w:tc>
          <w:tcPr>
            <w:tcW w:w="1854" w:type="dxa"/>
            <w:vMerge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D51FDB" w:rsidRDefault="00D51FDB" w:rsidP="00D61C0A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糕点（流通）</w:t>
            </w:r>
          </w:p>
        </w:tc>
        <w:tc>
          <w:tcPr>
            <w:tcW w:w="994" w:type="dxa"/>
            <w:vAlign w:val="center"/>
          </w:tcPr>
          <w:p w:rsidR="00D51FDB" w:rsidRDefault="00D51FDB" w:rsidP="00D61C0A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D51FDB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51FDB" w:rsidRPr="00817BA4" w:rsidTr="00D61C0A">
        <w:trPr>
          <w:trHeight w:val="567"/>
        </w:trPr>
        <w:tc>
          <w:tcPr>
            <w:tcW w:w="1854" w:type="dxa"/>
            <w:vMerge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D51FDB" w:rsidRDefault="00D51FDB" w:rsidP="00D61C0A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炒货及坚果制品（流通）</w:t>
            </w:r>
          </w:p>
        </w:tc>
        <w:tc>
          <w:tcPr>
            <w:tcW w:w="994" w:type="dxa"/>
            <w:vAlign w:val="center"/>
          </w:tcPr>
          <w:p w:rsidR="00D51FDB" w:rsidRPr="00654758" w:rsidRDefault="00D51FDB" w:rsidP="00D61C0A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</w:p>
        </w:tc>
        <w:tc>
          <w:tcPr>
            <w:tcW w:w="1555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:rsidR="00D51FDB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51FDB" w:rsidRPr="00817BA4" w:rsidTr="00D61C0A">
        <w:trPr>
          <w:trHeight w:val="70"/>
        </w:trPr>
        <w:tc>
          <w:tcPr>
            <w:tcW w:w="1854" w:type="dxa"/>
            <w:vMerge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41</w:t>
            </w:r>
          </w:p>
        </w:tc>
        <w:tc>
          <w:tcPr>
            <w:tcW w:w="1555" w:type="dxa"/>
            <w:vAlign w:val="center"/>
          </w:tcPr>
          <w:p w:rsidR="00D51FDB" w:rsidRPr="00817BA4" w:rsidRDefault="00D51FDB" w:rsidP="00D61C0A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:rsidR="00D51FDB" w:rsidRPr="00817BA4" w:rsidRDefault="00D51FDB" w:rsidP="00D61C0A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D51FDB" w:rsidRDefault="00D51FDB">
      <w:pPr>
        <w:sectPr w:rsidR="00D51FDB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D51FDB" w:rsidRPr="00655A32" w:rsidRDefault="00D51FDB" w:rsidP="00D51FDB">
      <w:pPr>
        <w:spacing w:line="320" w:lineRule="exact"/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p w:rsidR="00D51FDB" w:rsidRPr="00515A5A" w:rsidRDefault="00D51FDB" w:rsidP="00D51FDB">
      <w:pPr>
        <w:spacing w:line="320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515A5A">
        <w:rPr>
          <w:rFonts w:asciiTheme="majorEastAsia" w:eastAsiaTheme="majorEastAsia" w:hAnsiTheme="majorEastAsia" w:hint="eastAsia"/>
          <w:b/>
          <w:sz w:val="36"/>
          <w:szCs w:val="36"/>
        </w:rPr>
        <w:t>不合格食品信息汇总表</w:t>
      </w:r>
    </w:p>
    <w:tbl>
      <w:tblPr>
        <w:tblW w:w="14856" w:type="dxa"/>
        <w:jc w:val="center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299"/>
        <w:gridCol w:w="1843"/>
        <w:gridCol w:w="1559"/>
        <w:gridCol w:w="2126"/>
        <w:gridCol w:w="851"/>
        <w:gridCol w:w="708"/>
        <w:gridCol w:w="567"/>
        <w:gridCol w:w="993"/>
        <w:gridCol w:w="850"/>
        <w:gridCol w:w="709"/>
        <w:gridCol w:w="850"/>
        <w:gridCol w:w="851"/>
        <w:gridCol w:w="1082"/>
      </w:tblGrid>
      <w:tr w:rsidR="00D51FDB" w:rsidRPr="00A75398" w:rsidTr="00A75398">
        <w:trPr>
          <w:cantSplit/>
          <w:trHeight w:hRule="exact" w:val="685"/>
          <w:jc w:val="center"/>
        </w:trPr>
        <w:tc>
          <w:tcPr>
            <w:tcW w:w="568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序号</w:t>
            </w:r>
          </w:p>
        </w:tc>
        <w:tc>
          <w:tcPr>
            <w:tcW w:w="1299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标称生产</w:t>
            </w:r>
          </w:p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企业名称</w:t>
            </w:r>
          </w:p>
        </w:tc>
        <w:tc>
          <w:tcPr>
            <w:tcW w:w="1843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标称生产企业地址</w:t>
            </w:r>
          </w:p>
        </w:tc>
        <w:tc>
          <w:tcPr>
            <w:tcW w:w="1559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被抽样</w:t>
            </w:r>
          </w:p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单位名称</w:t>
            </w:r>
          </w:p>
        </w:tc>
        <w:tc>
          <w:tcPr>
            <w:tcW w:w="2126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被抽样</w:t>
            </w:r>
          </w:p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单位地址</w:t>
            </w:r>
          </w:p>
        </w:tc>
        <w:tc>
          <w:tcPr>
            <w:tcW w:w="851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食品</w:t>
            </w:r>
          </w:p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规格</w:t>
            </w:r>
          </w:p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型号</w:t>
            </w:r>
          </w:p>
        </w:tc>
        <w:tc>
          <w:tcPr>
            <w:tcW w:w="567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hint="eastAsia"/>
                <w:b/>
                <w:szCs w:val="21"/>
              </w:rPr>
              <w:t>商标</w:t>
            </w:r>
          </w:p>
        </w:tc>
        <w:tc>
          <w:tcPr>
            <w:tcW w:w="993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生产日期/批号</w:t>
            </w:r>
          </w:p>
        </w:tc>
        <w:tc>
          <w:tcPr>
            <w:tcW w:w="850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不合格</w:t>
            </w:r>
          </w:p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检测</w:t>
            </w:r>
          </w:p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结果</w:t>
            </w:r>
          </w:p>
        </w:tc>
        <w:tc>
          <w:tcPr>
            <w:tcW w:w="850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标准值</w:t>
            </w:r>
          </w:p>
        </w:tc>
        <w:tc>
          <w:tcPr>
            <w:tcW w:w="851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分类</w:t>
            </w:r>
          </w:p>
        </w:tc>
        <w:tc>
          <w:tcPr>
            <w:tcW w:w="1082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b/>
                <w:szCs w:val="21"/>
              </w:rPr>
              <w:t>检验机构</w:t>
            </w:r>
          </w:p>
        </w:tc>
      </w:tr>
      <w:tr w:rsidR="00D51FDB" w:rsidRPr="00A75398" w:rsidTr="00A75398">
        <w:trPr>
          <w:cantSplit/>
          <w:trHeight w:hRule="exact" w:val="850"/>
          <w:jc w:val="center"/>
        </w:trPr>
        <w:tc>
          <w:tcPr>
            <w:tcW w:w="568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99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843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太仓经济开发区抓鱼餐饮店</w:t>
            </w:r>
          </w:p>
        </w:tc>
        <w:tc>
          <w:tcPr>
            <w:tcW w:w="2126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江苏省</w:t>
            </w:r>
          </w:p>
        </w:tc>
        <w:tc>
          <w:tcPr>
            <w:tcW w:w="851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油条</w:t>
            </w:r>
          </w:p>
        </w:tc>
        <w:tc>
          <w:tcPr>
            <w:tcW w:w="708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散装称重</w:t>
            </w:r>
          </w:p>
        </w:tc>
        <w:tc>
          <w:tcPr>
            <w:tcW w:w="567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/>
                <w:szCs w:val="21"/>
              </w:rPr>
              <w:t>2018/4/27</w:t>
            </w:r>
          </w:p>
        </w:tc>
        <w:tc>
          <w:tcPr>
            <w:tcW w:w="850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铝的残留量</w:t>
            </w:r>
          </w:p>
        </w:tc>
        <w:tc>
          <w:tcPr>
            <w:tcW w:w="709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193</w:t>
            </w:r>
          </w:p>
        </w:tc>
        <w:tc>
          <w:tcPr>
            <w:tcW w:w="850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≤100</w:t>
            </w:r>
          </w:p>
        </w:tc>
        <w:tc>
          <w:tcPr>
            <w:tcW w:w="851" w:type="dxa"/>
            <w:vAlign w:val="center"/>
          </w:tcPr>
          <w:p w:rsidR="00D51FDB" w:rsidRPr="00A75398" w:rsidRDefault="00D51FDB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餐饮食品</w:t>
            </w:r>
          </w:p>
        </w:tc>
        <w:tc>
          <w:tcPr>
            <w:tcW w:w="1082" w:type="dxa"/>
            <w:vAlign w:val="center"/>
          </w:tcPr>
          <w:p w:rsidR="00D51FDB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谱尼测试集团江苏有限公司</w:t>
            </w:r>
          </w:p>
        </w:tc>
      </w:tr>
      <w:tr w:rsidR="00A75398" w:rsidRPr="00A75398" w:rsidTr="00A75398">
        <w:trPr>
          <w:cantSplit/>
          <w:trHeight w:hRule="exact" w:val="1079"/>
          <w:jc w:val="center"/>
        </w:trPr>
        <w:tc>
          <w:tcPr>
            <w:tcW w:w="56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9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启东市康民食品厂</w:t>
            </w:r>
          </w:p>
        </w:tc>
        <w:tc>
          <w:tcPr>
            <w:tcW w:w="184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启东市惠合北路118号</w:t>
            </w:r>
          </w:p>
        </w:tc>
        <w:tc>
          <w:tcPr>
            <w:tcW w:w="155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太仓经济开发区板桥欧特福超市</w:t>
            </w:r>
          </w:p>
        </w:tc>
        <w:tc>
          <w:tcPr>
            <w:tcW w:w="2126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江苏省苏州市太仓市经济开发区板桥兴业路215号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步步糕（熟粉类冷加工）</w:t>
            </w:r>
          </w:p>
        </w:tc>
        <w:tc>
          <w:tcPr>
            <w:tcW w:w="70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散称</w:t>
            </w:r>
          </w:p>
        </w:tc>
        <w:tc>
          <w:tcPr>
            <w:tcW w:w="567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/>
                <w:szCs w:val="21"/>
              </w:rPr>
              <w:t>2018/4/10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70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A75398">
              <w:rPr>
                <w:rFonts w:asciiTheme="minorEastAsia" w:hAnsiTheme="minorEastAsia" w:cs="Arial"/>
                <w:szCs w:val="21"/>
              </w:rPr>
              <w:t>19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A75398">
              <w:rPr>
                <w:rFonts w:asciiTheme="minorEastAsia" w:hAnsiTheme="minorEastAsia" w:cs="Arial" w:hint="eastAsia"/>
                <w:szCs w:val="21"/>
              </w:rPr>
              <w:t>≤</w:t>
            </w:r>
            <w:r w:rsidRPr="00A75398">
              <w:rPr>
                <w:rFonts w:asciiTheme="minorEastAsia" w:hAnsiTheme="minorEastAsia" w:cs="Arial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糕点</w:t>
            </w:r>
          </w:p>
        </w:tc>
        <w:tc>
          <w:tcPr>
            <w:tcW w:w="1082" w:type="dxa"/>
            <w:vMerge w:val="restart"/>
            <w:vAlign w:val="center"/>
          </w:tcPr>
          <w:p w:rsidR="00A75398" w:rsidRPr="00A75398" w:rsidRDefault="00A75398" w:rsidP="00A7539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太仓市检验检测中心</w:t>
            </w:r>
          </w:p>
        </w:tc>
      </w:tr>
      <w:tr w:rsidR="00A75398" w:rsidRPr="00A75398" w:rsidTr="00A75398">
        <w:trPr>
          <w:cantSplit/>
          <w:trHeight w:hRule="exact" w:val="845"/>
          <w:jc w:val="center"/>
        </w:trPr>
        <w:tc>
          <w:tcPr>
            <w:tcW w:w="56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129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浙江恒泰食品有限公司</w:t>
            </w:r>
          </w:p>
        </w:tc>
        <w:tc>
          <w:tcPr>
            <w:tcW w:w="184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浙江省海宁市袁花镇红新工业园</w:t>
            </w:r>
          </w:p>
        </w:tc>
        <w:tc>
          <w:tcPr>
            <w:tcW w:w="155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太仓市陆渡镇发联超市</w:t>
            </w:r>
          </w:p>
        </w:tc>
        <w:tc>
          <w:tcPr>
            <w:tcW w:w="2126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江苏省苏州市太仓市陆渡镇中市路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牛肉味豌豆</w:t>
            </w:r>
          </w:p>
        </w:tc>
        <w:tc>
          <w:tcPr>
            <w:tcW w:w="70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80g/袋</w:t>
            </w:r>
          </w:p>
        </w:tc>
        <w:tc>
          <w:tcPr>
            <w:tcW w:w="567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/>
                <w:szCs w:val="21"/>
              </w:rPr>
              <w:t>2017/11/12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大肠</w:t>
            </w:r>
          </w:p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菌群</w:t>
            </w:r>
          </w:p>
        </w:tc>
        <w:tc>
          <w:tcPr>
            <w:tcW w:w="70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A75398">
              <w:rPr>
                <w:rFonts w:asciiTheme="minorEastAsia" w:hAnsiTheme="minorEastAsia" w:cs="Arial"/>
                <w:szCs w:val="21"/>
              </w:rPr>
              <w:t>230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A75398">
              <w:rPr>
                <w:rFonts w:asciiTheme="minorEastAsia" w:hAnsiTheme="minorEastAsia" w:cs="Arial"/>
                <w:szCs w:val="21"/>
              </w:rPr>
              <w:t>≤30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炒货食品及坚果制品</w:t>
            </w:r>
          </w:p>
        </w:tc>
        <w:tc>
          <w:tcPr>
            <w:tcW w:w="1082" w:type="dxa"/>
            <w:vMerge/>
            <w:vAlign w:val="center"/>
          </w:tcPr>
          <w:p w:rsidR="00A75398" w:rsidRPr="00A75398" w:rsidRDefault="00A75398" w:rsidP="00A7539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A75398" w:rsidRPr="00A75398" w:rsidTr="00A75398">
        <w:trPr>
          <w:cantSplit/>
          <w:trHeight w:hRule="exact" w:val="830"/>
          <w:jc w:val="center"/>
        </w:trPr>
        <w:tc>
          <w:tcPr>
            <w:tcW w:w="56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129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杭州白龙食品有限公司</w:t>
            </w:r>
          </w:p>
        </w:tc>
        <w:tc>
          <w:tcPr>
            <w:tcW w:w="184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杭州市转塘街道里桐坞32号</w:t>
            </w:r>
          </w:p>
        </w:tc>
        <w:tc>
          <w:tcPr>
            <w:tcW w:w="155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太仓市陆渡镇城中城超市</w:t>
            </w:r>
          </w:p>
        </w:tc>
        <w:tc>
          <w:tcPr>
            <w:tcW w:w="2126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江苏省苏州市太仓市陆渡镇中市东路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醉酒</w:t>
            </w:r>
          </w:p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花生</w:t>
            </w:r>
          </w:p>
        </w:tc>
        <w:tc>
          <w:tcPr>
            <w:tcW w:w="70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140g/袋</w:t>
            </w:r>
          </w:p>
        </w:tc>
        <w:tc>
          <w:tcPr>
            <w:tcW w:w="567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/>
                <w:szCs w:val="21"/>
              </w:rPr>
              <w:t>2017/11/9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过氧</w:t>
            </w:r>
          </w:p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化值</w:t>
            </w:r>
          </w:p>
        </w:tc>
        <w:tc>
          <w:tcPr>
            <w:tcW w:w="70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0.9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≤0.25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炒货食品及坚果制品</w:t>
            </w:r>
          </w:p>
        </w:tc>
        <w:tc>
          <w:tcPr>
            <w:tcW w:w="1082" w:type="dxa"/>
            <w:vMerge/>
            <w:vAlign w:val="center"/>
          </w:tcPr>
          <w:p w:rsidR="00A75398" w:rsidRPr="00A75398" w:rsidRDefault="00A75398" w:rsidP="00A7539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A75398" w:rsidRPr="00A75398" w:rsidTr="00A75398">
        <w:trPr>
          <w:cantSplit/>
          <w:trHeight w:hRule="exact" w:val="855"/>
          <w:jc w:val="center"/>
        </w:trPr>
        <w:tc>
          <w:tcPr>
            <w:tcW w:w="56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129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常熟市情人结食品有限公司</w:t>
            </w:r>
          </w:p>
        </w:tc>
        <w:tc>
          <w:tcPr>
            <w:tcW w:w="184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常熟市支塘镇何市何南村</w:t>
            </w:r>
          </w:p>
        </w:tc>
        <w:tc>
          <w:tcPr>
            <w:tcW w:w="155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太仓市陆渡镇城中城超市</w:t>
            </w:r>
          </w:p>
        </w:tc>
        <w:tc>
          <w:tcPr>
            <w:tcW w:w="2126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江苏省苏州市太仓市陆渡镇中市东路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酒鬼花生原味</w:t>
            </w:r>
          </w:p>
        </w:tc>
        <w:tc>
          <w:tcPr>
            <w:tcW w:w="70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180g/袋</w:t>
            </w:r>
          </w:p>
        </w:tc>
        <w:tc>
          <w:tcPr>
            <w:tcW w:w="567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/>
                <w:szCs w:val="21"/>
              </w:rPr>
              <w:t>2018/1/26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过氧</w:t>
            </w:r>
          </w:p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化值</w:t>
            </w:r>
          </w:p>
        </w:tc>
        <w:tc>
          <w:tcPr>
            <w:tcW w:w="70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0.6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≤0.25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炒货食品及坚果制品</w:t>
            </w:r>
          </w:p>
        </w:tc>
        <w:tc>
          <w:tcPr>
            <w:tcW w:w="1082" w:type="dxa"/>
            <w:vMerge/>
            <w:vAlign w:val="center"/>
          </w:tcPr>
          <w:p w:rsidR="00A75398" w:rsidRPr="00A75398" w:rsidRDefault="00A75398" w:rsidP="00A7539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A75398" w:rsidRPr="00A75398" w:rsidTr="00A75398">
        <w:trPr>
          <w:cantSplit/>
          <w:trHeight w:hRule="exact" w:val="854"/>
          <w:jc w:val="center"/>
        </w:trPr>
        <w:tc>
          <w:tcPr>
            <w:tcW w:w="56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129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上海强馨食品有限公司</w:t>
            </w:r>
          </w:p>
        </w:tc>
        <w:tc>
          <w:tcPr>
            <w:tcW w:w="184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上海市嘉定区马陆镇立新路39号</w:t>
            </w:r>
          </w:p>
        </w:tc>
        <w:tc>
          <w:tcPr>
            <w:tcW w:w="155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太仓市城厢镇浙顺杂货店</w:t>
            </w:r>
          </w:p>
        </w:tc>
        <w:tc>
          <w:tcPr>
            <w:tcW w:w="2126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太仓经济开发区毛太路华申园市场底层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麻辣</w:t>
            </w:r>
          </w:p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花生</w:t>
            </w:r>
          </w:p>
        </w:tc>
        <w:tc>
          <w:tcPr>
            <w:tcW w:w="708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168g/袋</w:t>
            </w:r>
          </w:p>
        </w:tc>
        <w:tc>
          <w:tcPr>
            <w:tcW w:w="567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/>
                <w:szCs w:val="21"/>
              </w:rPr>
              <w:t>2018/1/27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过氧</w:t>
            </w:r>
          </w:p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化值</w:t>
            </w:r>
          </w:p>
        </w:tc>
        <w:tc>
          <w:tcPr>
            <w:tcW w:w="709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0.45</w:t>
            </w:r>
          </w:p>
        </w:tc>
        <w:tc>
          <w:tcPr>
            <w:tcW w:w="850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hint="eastAsia"/>
                <w:szCs w:val="21"/>
              </w:rPr>
              <w:t>≤0.25</w:t>
            </w:r>
          </w:p>
        </w:tc>
        <w:tc>
          <w:tcPr>
            <w:tcW w:w="851" w:type="dxa"/>
            <w:vAlign w:val="center"/>
          </w:tcPr>
          <w:p w:rsidR="00A75398" w:rsidRPr="00A75398" w:rsidRDefault="00A75398" w:rsidP="00A75398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A75398">
              <w:rPr>
                <w:rFonts w:asciiTheme="minorEastAsia" w:hAnsiTheme="minorEastAsia" w:cs="宋体" w:hint="eastAsia"/>
                <w:szCs w:val="21"/>
              </w:rPr>
              <w:t>炒货食品及坚果制品</w:t>
            </w:r>
          </w:p>
        </w:tc>
        <w:tc>
          <w:tcPr>
            <w:tcW w:w="1082" w:type="dxa"/>
            <w:vMerge/>
            <w:vAlign w:val="center"/>
          </w:tcPr>
          <w:p w:rsidR="00A75398" w:rsidRPr="00A75398" w:rsidRDefault="00A75398" w:rsidP="00A7539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</w:tbl>
    <w:p w:rsidR="00D51FDB" w:rsidRPr="008D66D6" w:rsidRDefault="00D51FDB" w:rsidP="00D51FDB">
      <w:pPr>
        <w:rPr>
          <w:sz w:val="24"/>
          <w:szCs w:val="24"/>
        </w:rPr>
      </w:pPr>
      <w:r w:rsidRPr="008D66D6">
        <w:rPr>
          <w:rFonts w:hint="eastAsia"/>
          <w:kern w:val="0"/>
          <w:sz w:val="24"/>
          <w:szCs w:val="24"/>
        </w:rPr>
        <w:t>以上抽检结论为不合格的产品，已移交相关部门依法进行调查处置。</w:t>
      </w:r>
    </w:p>
    <w:p w:rsidR="00D51FDB" w:rsidRPr="008D66D6" w:rsidRDefault="00D51FDB" w:rsidP="00D51FDB">
      <w:pPr>
        <w:rPr>
          <w:color w:val="000000"/>
          <w:kern w:val="0"/>
          <w:sz w:val="24"/>
          <w:szCs w:val="24"/>
        </w:rPr>
      </w:pPr>
      <w:r w:rsidRPr="008D66D6">
        <w:rPr>
          <w:rFonts w:hint="eastAsia"/>
          <w:sz w:val="24"/>
          <w:szCs w:val="24"/>
        </w:rPr>
        <w:t>检</w:t>
      </w:r>
      <w:r w:rsidRPr="008D66D6">
        <w:rPr>
          <w:rFonts w:hint="eastAsia"/>
          <w:color w:val="000000"/>
          <w:kern w:val="0"/>
          <w:sz w:val="24"/>
          <w:szCs w:val="24"/>
        </w:rPr>
        <w:t>测合格批次详情见以下网址：</w:t>
      </w:r>
      <w:hyperlink r:id="rId6" w:history="1">
        <w:r w:rsidRPr="008D66D6">
          <w:rPr>
            <w:rStyle w:val="a7"/>
            <w:kern w:val="0"/>
            <w:sz w:val="24"/>
            <w:szCs w:val="24"/>
          </w:rPr>
          <w:t>http://www.taicang.gov.cn/site_publicinfo/003002/003002006/keyNote.html</w:t>
        </w:r>
      </w:hyperlink>
      <w:r w:rsidRPr="008D66D6">
        <w:rPr>
          <w:rFonts w:hint="eastAsia"/>
          <w:color w:val="000000"/>
          <w:kern w:val="0"/>
          <w:sz w:val="24"/>
          <w:szCs w:val="24"/>
        </w:rPr>
        <w:t>,</w:t>
      </w:r>
    </w:p>
    <w:p w:rsidR="00D51FDB" w:rsidRPr="008D66D6" w:rsidRDefault="00D51FDB" w:rsidP="00D51FDB">
      <w:pPr>
        <w:rPr>
          <w:rFonts w:ascii="宋体" w:hAnsi="宋体" w:cs="宋体"/>
          <w:sz w:val="24"/>
          <w:szCs w:val="24"/>
        </w:rPr>
      </w:pPr>
      <w:r w:rsidRPr="008D66D6">
        <w:rPr>
          <w:sz w:val="24"/>
          <w:szCs w:val="24"/>
        </w:rPr>
        <w:t xml:space="preserve">                                                                                  </w:t>
      </w:r>
      <w:r w:rsidRPr="008D66D6">
        <w:rPr>
          <w:rFonts w:hint="eastAsia"/>
          <w:sz w:val="24"/>
          <w:szCs w:val="24"/>
        </w:rPr>
        <w:t xml:space="preserve">    </w:t>
      </w:r>
      <w:r w:rsidRPr="008D66D6">
        <w:rPr>
          <w:rFonts w:ascii="仿宋_GB2312" w:eastAsia="仿宋_GB2312" w:hint="eastAsia"/>
          <w:sz w:val="24"/>
          <w:szCs w:val="24"/>
        </w:rPr>
        <w:t xml:space="preserve"> </w:t>
      </w:r>
      <w:r w:rsidRPr="008D66D6">
        <w:rPr>
          <w:rFonts w:ascii="宋体" w:hAnsi="宋体" w:cs="宋体" w:hint="eastAsia"/>
          <w:sz w:val="24"/>
          <w:szCs w:val="24"/>
        </w:rPr>
        <w:t>太仓市食品安全委员会办公室</w:t>
      </w:r>
    </w:p>
    <w:p w:rsidR="00D51FDB" w:rsidRPr="008D66D6" w:rsidRDefault="00D51FDB" w:rsidP="00D51FDB">
      <w:pPr>
        <w:ind w:firstLineChars="3100" w:firstLine="7440"/>
        <w:rPr>
          <w:rFonts w:ascii="宋体" w:hAnsi="宋体" w:cs="宋体"/>
          <w:sz w:val="24"/>
          <w:szCs w:val="24"/>
        </w:rPr>
      </w:pPr>
      <w:r w:rsidRPr="008D66D6">
        <w:rPr>
          <w:rFonts w:ascii="宋体" w:hAnsi="宋体" w:cs="宋体" w:hint="eastAsia"/>
          <w:sz w:val="24"/>
          <w:szCs w:val="24"/>
        </w:rPr>
        <w:t xml:space="preserve">                            太仓市市场监督管理局</w:t>
      </w:r>
    </w:p>
    <w:p w:rsidR="00FD0CB2" w:rsidRPr="00A75398" w:rsidRDefault="00D51FDB">
      <w:pPr>
        <w:rPr>
          <w:sz w:val="24"/>
          <w:szCs w:val="24"/>
        </w:rPr>
      </w:pPr>
      <w:r w:rsidRPr="008D66D6">
        <w:rPr>
          <w:rFonts w:ascii="宋体" w:hAnsi="宋体" w:cs="宋体" w:hint="eastAsia"/>
          <w:sz w:val="24"/>
          <w:szCs w:val="24"/>
        </w:rPr>
        <w:t xml:space="preserve">                                                                                             2018年6月</w:t>
      </w:r>
      <w:r>
        <w:rPr>
          <w:rFonts w:ascii="宋体" w:hAnsi="宋体" w:cs="宋体" w:hint="eastAsia"/>
          <w:sz w:val="24"/>
          <w:szCs w:val="24"/>
        </w:rPr>
        <w:t>25</w:t>
      </w:r>
      <w:r w:rsidRPr="008D66D6">
        <w:rPr>
          <w:rFonts w:ascii="宋体" w:hAnsi="宋体" w:cs="宋体" w:hint="eastAsia"/>
          <w:sz w:val="24"/>
          <w:szCs w:val="24"/>
        </w:rPr>
        <w:t>日</w:t>
      </w:r>
    </w:p>
    <w:sectPr w:rsidR="00FD0CB2" w:rsidRPr="00A75398" w:rsidSect="00D51F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AB" w:rsidRDefault="000167AB" w:rsidP="00F02C49">
      <w:r>
        <w:separator/>
      </w:r>
    </w:p>
  </w:endnote>
  <w:endnote w:type="continuationSeparator" w:id="1">
    <w:p w:rsidR="000167AB" w:rsidRDefault="000167AB" w:rsidP="00F0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AB" w:rsidRDefault="000167AB" w:rsidP="00F02C49">
      <w:r>
        <w:separator/>
      </w:r>
    </w:p>
  </w:footnote>
  <w:footnote w:type="continuationSeparator" w:id="1">
    <w:p w:rsidR="000167AB" w:rsidRDefault="000167AB" w:rsidP="00F02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FDB"/>
    <w:rsid w:val="00015E44"/>
    <w:rsid w:val="000167AB"/>
    <w:rsid w:val="00067FC2"/>
    <w:rsid w:val="002C1739"/>
    <w:rsid w:val="00304027"/>
    <w:rsid w:val="005B0A93"/>
    <w:rsid w:val="007515A8"/>
    <w:rsid w:val="00886F11"/>
    <w:rsid w:val="00A15FEA"/>
    <w:rsid w:val="00A75398"/>
    <w:rsid w:val="00AB1C41"/>
    <w:rsid w:val="00B579C2"/>
    <w:rsid w:val="00BA51F6"/>
    <w:rsid w:val="00CD2CC7"/>
    <w:rsid w:val="00CF3FA5"/>
    <w:rsid w:val="00D5057E"/>
    <w:rsid w:val="00D51FDB"/>
    <w:rsid w:val="00DD6DA1"/>
    <w:rsid w:val="00E574C0"/>
    <w:rsid w:val="00EE07AB"/>
    <w:rsid w:val="00F02C49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B"/>
    <w:pPr>
      <w:widowControl w:val="0"/>
      <w:spacing w:line="240" w:lineRule="auto"/>
      <w:jc w:val="both"/>
    </w:pPr>
  </w:style>
  <w:style w:type="paragraph" w:styleId="1">
    <w:name w:val="heading 1"/>
    <w:basedOn w:val="a"/>
    <w:link w:val="1Char"/>
    <w:qFormat/>
    <w:rsid w:val="00BA51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spacing w:line="450" w:lineRule="atLeast"/>
      <w:ind w:firstLineChars="200" w:firstLine="420"/>
    </w:pPr>
  </w:style>
  <w:style w:type="character" w:customStyle="1" w:styleId="1Char">
    <w:name w:val="标题 1 Char"/>
    <w:basedOn w:val="a0"/>
    <w:link w:val="1"/>
    <w:rsid w:val="00BA51F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Subtitle"/>
    <w:basedOn w:val="a"/>
    <w:next w:val="a"/>
    <w:link w:val="Char"/>
    <w:qFormat/>
    <w:rsid w:val="00BA51F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rsid w:val="00BA51F6"/>
    <w:rPr>
      <w:rFonts w:ascii="Cambria" w:hAnsi="Cambria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BA51F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51FDB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F0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F02C4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F02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F02C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237</Words>
  <Characters>1351</Characters>
  <Application>Microsoft Office Word</Application>
  <DocSecurity>0</DocSecurity>
  <Lines>11</Lines>
  <Paragraphs>3</Paragraphs>
  <ScaleCrop>false</ScaleCrop>
  <Company>Sky123.Org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2018-06-25T01:27:00Z</dcterms:created>
  <dcterms:modified xsi:type="dcterms:W3CDTF">2018-06-25T06:03:00Z</dcterms:modified>
</cp:coreProperties>
</file>