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0"/>
          <w:szCs w:val="40"/>
        </w:rPr>
      </w:pPr>
      <w:bookmarkStart w:id="0" w:name="_GoBack"/>
      <w:r>
        <w:rPr>
          <w:rFonts w:hint="eastAsia" w:ascii="方正小标宋简体" w:hAnsi="方正小标宋简体" w:eastAsia="方正小标宋简体" w:cs="方正小标宋简体"/>
          <w:color w:val="333333"/>
          <w:sz w:val="40"/>
          <w:szCs w:val="40"/>
          <w:bdr w:val="none" w:color="auto" w:sz="0" w:space="0"/>
        </w:rPr>
        <w:t>太仓市201</w:t>
      </w:r>
      <w:r>
        <w:rPr>
          <w:rFonts w:hint="eastAsia" w:ascii="方正小标宋简体" w:hAnsi="方正小标宋简体" w:eastAsia="方正小标宋简体" w:cs="方正小标宋简体"/>
          <w:color w:val="333333"/>
          <w:sz w:val="40"/>
          <w:szCs w:val="40"/>
          <w:bdr w:val="none" w:color="auto" w:sz="0" w:space="0"/>
          <w:lang w:val="en-US" w:eastAsia="zh-CN"/>
        </w:rPr>
        <w:t>6</w:t>
      </w:r>
      <w:r>
        <w:rPr>
          <w:rFonts w:hint="eastAsia" w:ascii="方正小标宋简体" w:hAnsi="方正小标宋简体" w:eastAsia="方正小标宋简体" w:cs="方正小标宋简体"/>
          <w:color w:val="333333"/>
          <w:sz w:val="40"/>
          <w:szCs w:val="40"/>
          <w:bdr w:val="none" w:color="auto" w:sz="0" w:space="0"/>
        </w:rPr>
        <w:t>年政府信息公开工作年度报告</w:t>
      </w:r>
    </w:p>
    <w:bookmarkEnd w:id="0"/>
    <w:p>
      <w:pPr>
        <w:rPr>
          <w:sz w:val="32"/>
          <w:szCs w:val="32"/>
        </w:rPr>
      </w:pP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年报是根据《中华人民共和国政府信息公开条例》（以下简称“《条例》”），由太仓市人民政府办公室编制。本年报由概述，主动公开政府信息情况，依申请公开政府信息情况，复议、诉讼和申诉情况，政府信息公开支出及收费情况，存在的问题，2017年工作打算等部分组成。本年报所列数据的统计期限自2016年1月1日起至2016年12月31日止。本报告通过“中国太仓”和档案馆公共查阅场所公布。本年报的电子版可在（http://www.taicang.gov.cn）下载。如对年报有任何疑问，请与市政府办公室信息公开科联系（地址：县府东街99号，邮编：215400，电话0512-53952450）。</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一、概述</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2016年，我市深入贯彻落实党的十八大、十八届三中、四中、五中、六中全会和习近平总书记系列重要讲话精神，在省、苏州市政府的正确领导下，全面贯彻执行《中华人民共和国政府信息公开条例》和《国务院办公厅关于印发2016年政务公开工作要点的通知》等文件精神，将政务公开工作作为促进依法行政和建设服务型政府的重要举措常抓不懈，主动、及时、规范公开政府信息，切实保障公民获取政府信息的知情权、参与权和监督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sz w:val="32"/>
          <w:szCs w:val="32"/>
        </w:rPr>
      </w:pPr>
      <w:r>
        <w:rPr>
          <w:rFonts w:hint="eastAsia" w:ascii="黑体" w:hAnsi="黑体" w:eastAsia="黑体" w:cs="黑体"/>
          <w:kern w:val="2"/>
          <w:sz w:val="32"/>
          <w:szCs w:val="32"/>
          <w:lang w:val="en-US" w:eastAsia="zh-CN" w:bidi="ar-SA"/>
        </w:rPr>
        <w:t>二、主动公开及政务公开要点落实情况</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（一）落实保障</w:t>
      </w:r>
      <w:r>
        <w:rPr>
          <w:rFonts w:hint="eastAsia" w:ascii="楷体_GB2312" w:hAnsi="楷体_GB2312" w:eastAsia="楷体_GB2312" w:cs="楷体_GB2312"/>
          <w:sz w:val="32"/>
          <w:szCs w:val="32"/>
        </w:rPr>
        <w:t>，建立政务公开工作长效机制</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lang w:eastAsia="zh-CN"/>
        </w:rPr>
        <w:t>加强领导</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形成有利格局</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市委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市政府始终将推进政务公开作为廉政建设、效能建设的重要内容，</w:t>
      </w:r>
      <w:r>
        <w:rPr>
          <w:rFonts w:hint="eastAsia" w:ascii="仿宋_GB2312" w:hAnsi="仿宋_GB2312" w:eastAsia="仿宋_GB2312" w:cs="仿宋_GB2312"/>
          <w:sz w:val="32"/>
          <w:szCs w:val="32"/>
          <w:lang w:eastAsia="zh-CN"/>
        </w:rPr>
        <w:t>制订</w:t>
      </w:r>
      <w:r>
        <w:rPr>
          <w:rFonts w:hint="eastAsia" w:ascii="仿宋_GB2312" w:hAnsi="仿宋_GB2312" w:eastAsia="仿宋_GB2312" w:cs="仿宋_GB2312"/>
          <w:sz w:val="32"/>
          <w:szCs w:val="32"/>
          <w:lang w:val="zh-CN"/>
        </w:rPr>
        <w:t>下发《市政府关于调整太仓市政务公开领导小组成员的通知》，调整后由常务副市长任组长，市委、市政府办公室主任任副组长，市相关职能部门主要负责人为成员，实现了领导、机构、人员“三到位”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建立政务公开内部协调机制，明确由市政府办公室牵头，与全市各镇区、各部门分管领导和办公室主任形成了信息互通、资源共享的政务公开工作格局。</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eastAsia="zh-CN"/>
        </w:rPr>
        <w:t>明确任务，提供制度保障。</w:t>
      </w:r>
      <w:r>
        <w:rPr>
          <w:rFonts w:hint="eastAsia" w:ascii="仿宋_GB2312" w:hAnsi="仿宋_GB2312" w:eastAsia="仿宋_GB2312" w:cs="仿宋_GB2312"/>
          <w:sz w:val="32"/>
          <w:szCs w:val="32"/>
          <w:lang w:val="zh-CN"/>
        </w:rPr>
        <w:t>组织召开年度政务公开工作会议，总结201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val="zh-CN"/>
        </w:rPr>
        <w:t>年政务公开工作，部署201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val="zh-CN"/>
        </w:rPr>
        <w:t>年工作任务。印发</w:t>
      </w:r>
      <w:r>
        <w:rPr>
          <w:rFonts w:hint="eastAsia" w:ascii="仿宋_GB2312" w:hAnsi="仿宋_GB2312" w:eastAsia="仿宋_GB2312" w:cs="仿宋_GB2312"/>
          <w:sz w:val="32"/>
          <w:szCs w:val="32"/>
        </w:rPr>
        <w:t>《太仓市2016年政务公开工作要点》</w:t>
      </w:r>
      <w:r>
        <w:rPr>
          <w:rFonts w:hint="eastAsia" w:ascii="仿宋_GB2312" w:hAnsi="仿宋_GB2312" w:eastAsia="仿宋_GB2312" w:cs="仿宋_GB2312"/>
          <w:sz w:val="32"/>
          <w:szCs w:val="32"/>
          <w:lang w:val="zh-CN"/>
        </w:rPr>
        <w:t>，对六个方面工作提出</w:t>
      </w:r>
      <w:r>
        <w:rPr>
          <w:rFonts w:hint="eastAsia" w:ascii="仿宋_GB2312" w:hAnsi="仿宋_GB2312" w:eastAsia="仿宋_GB2312" w:cs="仿宋_GB2312"/>
          <w:sz w:val="32"/>
          <w:szCs w:val="32"/>
          <w:lang w:val="en-US" w:eastAsia="zh-CN"/>
        </w:rPr>
        <w:t>23项</w:t>
      </w:r>
      <w:r>
        <w:rPr>
          <w:rFonts w:hint="eastAsia" w:ascii="仿宋_GB2312" w:hAnsi="仿宋_GB2312" w:eastAsia="仿宋_GB2312" w:cs="仿宋_GB2312"/>
          <w:sz w:val="32"/>
          <w:szCs w:val="32"/>
          <w:lang w:val="zh-CN"/>
        </w:rPr>
        <w:t>具体要求，并明确牵头单位和责任部门。</w:t>
      </w:r>
      <w:r>
        <w:rPr>
          <w:rFonts w:hint="eastAsia" w:ascii="仿宋_GB2312" w:hAnsi="仿宋_GB2312" w:eastAsia="仿宋_GB2312" w:cs="仿宋_GB2312"/>
          <w:sz w:val="32"/>
          <w:szCs w:val="32"/>
        </w:rPr>
        <w:t>结合工作实际，先后重新修订了《</w:t>
      </w:r>
      <w:r>
        <w:rPr>
          <w:rFonts w:hint="eastAsia" w:ascii="仿宋_GB2312" w:hAnsi="仿宋_GB2312" w:eastAsia="仿宋_GB2312" w:cs="仿宋_GB2312"/>
          <w:sz w:val="32"/>
          <w:szCs w:val="32"/>
          <w:lang w:eastAsia="zh-CN"/>
        </w:rPr>
        <w:t>太仓</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政务</w:t>
      </w:r>
      <w:r>
        <w:rPr>
          <w:rFonts w:hint="eastAsia" w:ascii="仿宋_GB2312" w:hAnsi="仿宋_GB2312" w:eastAsia="仿宋_GB2312" w:cs="仿宋_GB2312"/>
          <w:sz w:val="32"/>
          <w:szCs w:val="32"/>
        </w:rPr>
        <w:t>信息发布保密审查</w:t>
      </w:r>
      <w:r>
        <w:rPr>
          <w:rFonts w:hint="eastAsia" w:ascii="仿宋_GB2312" w:hAnsi="仿宋_GB2312" w:eastAsia="仿宋_GB2312" w:cs="仿宋_GB2312"/>
          <w:sz w:val="32"/>
          <w:szCs w:val="32"/>
          <w:lang w:eastAsia="zh-CN"/>
        </w:rPr>
        <w:t>制度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太仓</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政务</w:t>
      </w:r>
      <w:r>
        <w:rPr>
          <w:rFonts w:hint="eastAsia" w:ascii="仿宋_GB2312" w:hAnsi="仿宋_GB2312" w:eastAsia="仿宋_GB2312" w:cs="仿宋_GB2312"/>
          <w:sz w:val="32"/>
          <w:szCs w:val="32"/>
        </w:rPr>
        <w:t>公开责任追究</w:t>
      </w:r>
      <w:r>
        <w:rPr>
          <w:rFonts w:hint="eastAsia" w:ascii="仿宋_GB2312" w:hAnsi="仿宋_GB2312" w:eastAsia="仿宋_GB2312" w:cs="仿宋_GB2312"/>
          <w:sz w:val="32"/>
          <w:szCs w:val="32"/>
          <w:lang w:eastAsia="zh-CN"/>
        </w:rPr>
        <w:t>制度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太仓</w:t>
      </w:r>
      <w:r>
        <w:rPr>
          <w:rFonts w:hint="eastAsia" w:ascii="仿宋_GB2312" w:hAnsi="仿宋_GB2312" w:eastAsia="仿宋_GB2312" w:cs="仿宋_GB2312"/>
          <w:sz w:val="32"/>
          <w:szCs w:val="32"/>
        </w:rPr>
        <w:t>市行政机关公文类信息公开审核</w:t>
      </w:r>
      <w:r>
        <w:rPr>
          <w:rFonts w:hint="eastAsia" w:ascii="仿宋_GB2312" w:hAnsi="仿宋_GB2312" w:eastAsia="仿宋_GB2312" w:cs="仿宋_GB2312"/>
          <w:sz w:val="32"/>
          <w:szCs w:val="32"/>
          <w:lang w:eastAsia="zh-CN"/>
        </w:rPr>
        <w:t>制度</w:t>
      </w:r>
      <w:r>
        <w:rPr>
          <w:rFonts w:hint="eastAsia" w:ascii="仿宋_GB2312" w:hAnsi="仿宋_GB2312" w:eastAsia="仿宋_GB2312" w:cs="仿宋_GB2312"/>
          <w:sz w:val="32"/>
          <w:szCs w:val="32"/>
        </w:rPr>
        <w:t>》等相关配套文件，为确保</w:t>
      </w:r>
      <w:r>
        <w:rPr>
          <w:rFonts w:hint="eastAsia" w:ascii="仿宋_GB2312" w:hAnsi="仿宋_GB2312" w:eastAsia="仿宋_GB2312" w:cs="仿宋_GB2312"/>
          <w:sz w:val="32"/>
          <w:szCs w:val="32"/>
          <w:lang w:eastAsia="zh-CN"/>
        </w:rPr>
        <w:t>政务公开扎实推进</w:t>
      </w:r>
      <w:r>
        <w:rPr>
          <w:rFonts w:hint="eastAsia" w:ascii="仿宋_GB2312" w:hAnsi="仿宋_GB2312" w:eastAsia="仿宋_GB2312" w:cs="仿宋_GB2312"/>
          <w:sz w:val="32"/>
          <w:szCs w:val="32"/>
        </w:rPr>
        <w:t>提供坚强制度保障。</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3" w:firstLineChars="200"/>
        <w:jc w:val="both"/>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bCs/>
          <w:sz w:val="32"/>
          <w:szCs w:val="32"/>
          <w:lang w:val="en-US" w:eastAsia="zh-CN"/>
        </w:rPr>
        <w:t>3.建立专栏，科学设置目录。</w:t>
      </w:r>
      <w:r>
        <w:rPr>
          <w:rFonts w:hint="eastAsia" w:ascii="仿宋_GB2312" w:hAnsi="仿宋_GB2312" w:eastAsia="仿宋_GB2312" w:cs="仿宋_GB2312"/>
          <w:sz w:val="32"/>
          <w:szCs w:val="32"/>
          <w:lang w:eastAsia="zh-CN"/>
        </w:rPr>
        <w:t>不断推进政府信息主动公开基本目录建设，进一步明确了重点领域、重点行业公开的主体、内容、时限、方式等，</w:t>
      </w:r>
      <w:r>
        <w:rPr>
          <w:rFonts w:hint="eastAsia" w:ascii="仿宋_GB2312" w:hAnsi="仿宋_GB2312" w:eastAsia="仿宋_GB2312" w:cs="仿宋_GB2312"/>
          <w:sz w:val="32"/>
          <w:szCs w:val="32"/>
        </w:rPr>
        <w:t>在多次推敲、修改并充分征求相关单位意见的基础上，结合我市特色，科学设置</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细化重点</w:t>
      </w:r>
      <w:r>
        <w:rPr>
          <w:rFonts w:hint="eastAsia" w:ascii="仿宋_GB2312" w:hAnsi="仿宋_GB2312" w:eastAsia="仿宋_GB2312" w:cs="仿宋_GB2312"/>
          <w:sz w:val="32"/>
          <w:szCs w:val="32"/>
          <w:lang w:eastAsia="zh-CN"/>
        </w:rPr>
        <w:t>方面政务</w:t>
      </w:r>
      <w:r>
        <w:rPr>
          <w:rFonts w:hint="eastAsia" w:ascii="仿宋_GB2312" w:hAnsi="仿宋_GB2312" w:eastAsia="仿宋_GB2312" w:cs="仿宋_GB2312"/>
          <w:sz w:val="32"/>
          <w:szCs w:val="32"/>
        </w:rPr>
        <w:t>信息公开目录，并将相关目录分解到具体牵头部门和责任单位，既落实了工作责任，又展现了工作特色，</w:t>
      </w:r>
      <w:r>
        <w:rPr>
          <w:rFonts w:hint="eastAsia" w:ascii="仿宋_GB2312" w:hAnsi="仿宋_GB2312" w:eastAsia="仿宋_GB2312" w:cs="仿宋_GB2312"/>
          <w:sz w:val="32"/>
          <w:szCs w:val="32"/>
          <w:lang w:eastAsia="zh-CN"/>
        </w:rPr>
        <w:t>有利于</w:t>
      </w:r>
      <w:r>
        <w:rPr>
          <w:rFonts w:hint="eastAsia" w:ascii="仿宋_GB2312" w:hAnsi="仿宋_GB2312" w:eastAsia="仿宋_GB2312" w:cs="仿宋_GB2312"/>
          <w:sz w:val="32"/>
          <w:szCs w:val="32"/>
        </w:rPr>
        <w:t>公众查询监督</w:t>
      </w:r>
      <w:r>
        <w:rPr>
          <w:rFonts w:hint="eastAsia" w:ascii="仿宋_GB2312" w:hAnsi="仿宋_GB2312" w:eastAsia="仿宋_GB2312" w:cs="仿宋_GB2312"/>
          <w:sz w:val="32"/>
          <w:szCs w:val="32"/>
          <w:lang w:eastAsia="zh-CN"/>
        </w:rPr>
        <w:t>，主动公开规范化水平得到提升。</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0" w:firstLineChars="200"/>
        <w:jc w:val="both"/>
        <w:textAlignment w:val="auto"/>
        <w:rPr>
          <w:rFonts w:hint="eastAsia" w:ascii="黑体" w:hAnsi="黑体" w:eastAsia="黑体" w:cs="黑体"/>
          <w:sz w:val="32"/>
          <w:szCs w:val="32"/>
        </w:rPr>
      </w:pPr>
      <w:r>
        <w:rPr>
          <w:rFonts w:hint="eastAsia" w:ascii="楷体_GB2312" w:hAnsi="楷体_GB2312" w:eastAsia="楷体_GB2312" w:cs="楷体_GB2312"/>
          <w:sz w:val="32"/>
          <w:szCs w:val="32"/>
          <w:lang w:eastAsia="zh-CN"/>
        </w:rPr>
        <w:t>（二）突出重点，全力推动重点方面政务公开</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15"/>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1.围绕深化改革推进公开。</w:t>
      </w:r>
      <w:r>
        <w:rPr>
          <w:rFonts w:hint="eastAsia" w:ascii="仿宋_GB2312" w:hAnsi="仿宋_GB2312" w:eastAsia="仿宋_GB2312" w:cs="仿宋_GB2312"/>
          <w:sz w:val="32"/>
          <w:szCs w:val="32"/>
          <w:lang w:eastAsia="zh-CN"/>
        </w:rPr>
        <w:t>实行权力清单和责任清单动态管理，</w:t>
      </w:r>
      <w:r>
        <w:rPr>
          <w:rFonts w:hint="eastAsia" w:ascii="仿宋_GB2312" w:hAnsi="仿宋_GB2312" w:eastAsia="仿宋_GB2312" w:cs="仿宋_GB2312"/>
          <w:sz w:val="32"/>
          <w:szCs w:val="32"/>
          <w:lang w:val="en-US" w:eastAsia="zh-CN"/>
        </w:rPr>
        <w:t>5874项权力事项</w:t>
      </w:r>
      <w:r>
        <w:rPr>
          <w:rFonts w:hint="eastAsia" w:ascii="仿宋_GB2312" w:hAnsi="仿宋_GB2312" w:eastAsia="仿宋_GB2312" w:cs="仿宋_GB2312"/>
          <w:sz w:val="32"/>
          <w:szCs w:val="32"/>
          <w:lang w:eastAsia="zh-CN"/>
        </w:rPr>
        <w:t>通过“中国太仓”政府门户网站集中公开发布</w:t>
      </w:r>
      <w:r>
        <w:rPr>
          <w:rFonts w:hint="eastAsia" w:ascii="仿宋_GB2312" w:hAnsi="仿宋_GB2312" w:eastAsia="仿宋_GB2312" w:cs="仿宋_GB2312"/>
          <w:sz w:val="32"/>
          <w:szCs w:val="32"/>
          <w:lang w:val="en-US" w:eastAsia="zh-CN"/>
        </w:rPr>
        <w:t>，并及时公开</w:t>
      </w:r>
      <w:r>
        <w:rPr>
          <w:rFonts w:hint="eastAsia" w:ascii="仿宋_GB2312" w:hAnsi="仿宋_GB2312" w:eastAsia="仿宋_GB2312" w:cs="仿宋_GB2312"/>
          <w:sz w:val="32"/>
          <w:szCs w:val="32"/>
          <w:lang w:eastAsia="zh-CN"/>
        </w:rPr>
        <w:t>165个</w:t>
      </w:r>
      <w:r>
        <w:rPr>
          <w:rFonts w:hint="eastAsia" w:ascii="仿宋_GB2312" w:hAnsi="仿宋_GB2312" w:eastAsia="仿宋_GB2312" w:cs="仿宋_GB2312"/>
          <w:sz w:val="32"/>
          <w:szCs w:val="32"/>
          <w:lang w:val="en-US" w:eastAsia="zh-CN"/>
        </w:rPr>
        <w:t>保留</w:t>
      </w:r>
      <w:r>
        <w:rPr>
          <w:rFonts w:hint="eastAsia" w:ascii="仿宋_GB2312" w:hAnsi="仿宋_GB2312" w:eastAsia="仿宋_GB2312" w:cs="仿宋_GB2312"/>
          <w:sz w:val="32"/>
          <w:szCs w:val="32"/>
          <w:lang w:eastAsia="zh-CN"/>
        </w:rPr>
        <w:t>行政许可事项。搭建太仓市公共信用基础数据库和服务平台，归集、整合、共享信用信息资源，形成信用行为数据档案，并向社会公示企业严重违法失信信息。充分利用“诚信太仓”网站和市场监管信息平台，将非涉密的行政许可和行政处罚等信用信息在作出决定7个工作日内向社会公开，并加强系统间信息的归集和公示，全年</w:t>
      </w:r>
      <w:r>
        <w:rPr>
          <w:rFonts w:hint="eastAsia" w:ascii="仿宋_GB2312" w:hAnsi="仿宋_GB2312" w:eastAsia="仿宋_GB2312" w:cs="仿宋_GB2312"/>
          <w:sz w:val="32"/>
          <w:szCs w:val="32"/>
          <w:lang w:val="en-US" w:eastAsia="zh-CN"/>
        </w:rPr>
        <w:t>共</w:t>
      </w:r>
      <w:r>
        <w:rPr>
          <w:rFonts w:hint="eastAsia" w:ascii="仿宋_GB2312" w:hAnsi="仿宋_GB2312" w:eastAsia="仿宋_GB2312" w:cs="仿宋_GB2312"/>
          <w:sz w:val="32"/>
          <w:szCs w:val="32"/>
          <w:lang w:eastAsia="zh-CN"/>
        </w:rPr>
        <w:t>公示行政许可信息</w:t>
      </w:r>
      <w:r>
        <w:rPr>
          <w:rFonts w:hint="eastAsia" w:ascii="仿宋_GB2312" w:hAnsi="仿宋_GB2312" w:eastAsia="仿宋_GB2312" w:cs="仿宋_GB2312"/>
          <w:sz w:val="32"/>
          <w:szCs w:val="32"/>
          <w:lang w:val="en-US" w:eastAsia="zh-CN"/>
        </w:rPr>
        <w:t>16125</w:t>
      </w:r>
      <w:r>
        <w:rPr>
          <w:rFonts w:hint="eastAsia" w:ascii="仿宋_GB2312" w:hAnsi="仿宋_GB2312" w:eastAsia="仿宋_GB2312" w:cs="仿宋_GB2312"/>
          <w:sz w:val="32"/>
          <w:szCs w:val="32"/>
          <w:lang w:eastAsia="zh-CN"/>
        </w:rPr>
        <w:t>条，行政处罚信息</w:t>
      </w:r>
      <w:r>
        <w:rPr>
          <w:rFonts w:hint="eastAsia" w:ascii="仿宋_GB2312" w:hAnsi="仿宋_GB2312" w:eastAsia="仿宋_GB2312" w:cs="仿宋_GB2312"/>
          <w:sz w:val="32"/>
          <w:szCs w:val="32"/>
          <w:lang w:val="en-US" w:eastAsia="zh-CN"/>
        </w:rPr>
        <w:t>2922</w:t>
      </w:r>
      <w:r>
        <w:rPr>
          <w:rFonts w:hint="eastAsia" w:ascii="仿宋_GB2312" w:hAnsi="仿宋_GB2312" w:eastAsia="仿宋_GB2312" w:cs="仿宋_GB2312"/>
          <w:sz w:val="32"/>
          <w:szCs w:val="32"/>
          <w:lang w:eastAsia="zh-CN"/>
        </w:rPr>
        <w:t>条。“双公示”信息与“诚信苏州”进行系统对接，做到信用信息实时交换、互联共享。</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15"/>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2.围绕促进经济发展推进公开。</w:t>
      </w:r>
      <w:r>
        <w:rPr>
          <w:rFonts w:hint="eastAsia" w:ascii="仿宋_GB2312" w:hAnsi="仿宋_GB2312" w:eastAsia="仿宋_GB2312" w:cs="仿宋_GB2312"/>
          <w:sz w:val="32"/>
          <w:szCs w:val="32"/>
          <w:lang w:eastAsia="zh-CN"/>
        </w:rPr>
        <w:t>做好各类减负政策的公开、传达工作，通过网络和新媒体手段，对18项扩大免征范围的行政事业性收费等降费信息进行公开和推送。通过短信向</w:t>
      </w:r>
      <w:r>
        <w:rPr>
          <w:rFonts w:hint="eastAsia" w:ascii="仿宋_GB2312" w:hAnsi="仿宋_GB2312" w:eastAsia="仿宋_GB2312" w:cs="仿宋_GB2312"/>
          <w:sz w:val="32"/>
          <w:szCs w:val="32"/>
          <w:lang w:val="en-US" w:eastAsia="zh-CN"/>
        </w:rPr>
        <w:t>1000余位</w:t>
      </w:r>
      <w:r>
        <w:rPr>
          <w:rFonts w:hint="eastAsia" w:ascii="仿宋_GB2312" w:hAnsi="仿宋_GB2312" w:eastAsia="仿宋_GB2312" w:cs="仿宋_GB2312"/>
          <w:sz w:val="32"/>
          <w:szCs w:val="32"/>
          <w:lang w:eastAsia="zh-CN"/>
        </w:rPr>
        <w:t>小微企业纳税人发送“温馨提示”，主动联系符合扩围条件的小微企业，了解企业对扩围政策的反响，及时分析政策效应，政策知晓度和传播率较以往有明显提升。公布《太仓市行政事业性收费目录（截止2015年12月31日）》和</w:t>
      </w:r>
      <w:r>
        <w:rPr>
          <w:rFonts w:hint="eastAsia" w:ascii="仿宋_GB2312" w:hAnsi="仿宋_GB2312" w:eastAsia="仿宋_GB2312" w:cs="仿宋_GB2312"/>
          <w:sz w:val="32"/>
          <w:szCs w:val="32"/>
          <w:lang w:val="zh-CN" w:eastAsia="zh-CN"/>
        </w:rPr>
        <w:t>《太仓市市级政府定价管理的经营服务性收费目录清单（截止2016年8月1日）》</w:t>
      </w:r>
      <w:r>
        <w:rPr>
          <w:rFonts w:hint="eastAsia" w:ascii="仿宋_GB2312" w:hAnsi="仿宋_GB2312" w:eastAsia="仿宋_GB2312" w:cs="仿宋_GB2312"/>
          <w:sz w:val="32"/>
          <w:szCs w:val="32"/>
          <w:lang w:eastAsia="zh-CN"/>
        </w:rPr>
        <w:t>，对项目名称、设立依据、标准等信息进行明确和更新，有效杜绝了清单外乱收费、乱摊派等行为的发生。扎实推进政府和社会资本合作（PPP）项目信息公开，成立PPP工作领导小组，相关政策和文件及</w:t>
      </w:r>
      <w:r>
        <w:rPr>
          <w:rFonts w:hint="eastAsia" w:ascii="仿宋_GB2312" w:hAnsi="仿宋_GB2312" w:eastAsia="仿宋_GB2312" w:cs="仿宋_GB2312"/>
          <w:sz w:val="32"/>
          <w:szCs w:val="32"/>
          <w:lang w:val="en-US" w:eastAsia="zh-CN"/>
        </w:rPr>
        <w:t>PPP项目库</w:t>
      </w:r>
      <w:r>
        <w:rPr>
          <w:rFonts w:hint="eastAsia" w:ascii="仿宋_GB2312" w:hAnsi="仿宋_GB2312" w:eastAsia="仿宋_GB2312" w:cs="仿宋_GB2312"/>
          <w:sz w:val="32"/>
          <w:szCs w:val="32"/>
          <w:lang w:eastAsia="zh-CN"/>
        </w:rPr>
        <w:t>通过政府信息公开平台向社会公开。</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15"/>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3.围绕民生改善推进公开。</w:t>
      </w:r>
      <w:r>
        <w:rPr>
          <w:rFonts w:hint="eastAsia" w:ascii="仿宋_GB2312" w:hAnsi="仿宋_GB2312" w:eastAsia="仿宋_GB2312" w:cs="仿宋_GB2312"/>
          <w:sz w:val="32"/>
          <w:szCs w:val="32"/>
          <w:lang w:eastAsia="zh-CN"/>
        </w:rPr>
        <w:t>重点围绕创新创业、援企稳岗、化解过剩产能职工分流等方面加大政策公开力度，通过网站、手机APP、人才网公众号微信等，及时公布就业创业补贴信息。发布就业援助月、“春风行动”、民营企业招聘周、“创业宣传月”等专题活动信息</w:t>
      </w:r>
      <w:r>
        <w:rPr>
          <w:rFonts w:hint="eastAsia" w:ascii="仿宋_GB2312" w:hAnsi="仿宋_GB2312" w:eastAsia="仿宋_GB2312" w:cs="仿宋_GB2312"/>
          <w:sz w:val="32"/>
          <w:szCs w:val="32"/>
          <w:lang w:val="en-US" w:eastAsia="zh-CN"/>
        </w:rPr>
        <w:t>437条，发布就业岗位信息147842条。</w:t>
      </w:r>
      <w:r>
        <w:rPr>
          <w:rFonts w:hint="eastAsia" w:ascii="仿宋_GB2312" w:hAnsi="仿宋_GB2312" w:eastAsia="仿宋_GB2312" w:cs="仿宋_GB2312"/>
          <w:sz w:val="32"/>
          <w:szCs w:val="32"/>
          <w:lang w:eastAsia="zh-CN"/>
        </w:rPr>
        <w:t>强化食品药品安全等重要领域的监管信息公开工作，每月汇总全市食品药品安全监督抽检结果、不合格批次等信息并在太仓日报上公开发布。通过“中国太仓”政府门户网站对涉及食品安全的行政许可和行政处罚信息进行公示，全年发布食品安全监管信息</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lang w:eastAsia="zh-CN"/>
        </w:rPr>
        <w:t>条、食品安全重点政务信息</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lang w:eastAsia="zh-CN"/>
        </w:rPr>
        <w:t>条。食品安全行政处罚和行政许可“双公示”工作在太仓市公共信用信息系统实现了同步公示。</w:t>
      </w:r>
      <w:r>
        <w:rPr>
          <w:rFonts w:hint="eastAsia" w:ascii="仿宋_GB2312" w:hAnsi="仿宋_GB2312" w:eastAsia="仿宋_GB2312" w:cs="仿宋_GB2312"/>
          <w:sz w:val="32"/>
          <w:szCs w:val="32"/>
          <w:lang w:val="zh-CN" w:eastAsia="zh-CN"/>
        </w:rPr>
        <w:t>围绕实施精准扶贫、精准脱贫工作，公开发布</w:t>
      </w:r>
      <w:r>
        <w:rPr>
          <w:rFonts w:hint="eastAsia" w:ascii="仿宋_GB2312" w:hAnsi="仿宋_GB2312" w:eastAsia="仿宋_GB2312" w:cs="仿宋_GB2312"/>
          <w:sz w:val="32"/>
          <w:szCs w:val="32"/>
          <w:lang w:eastAsia="zh-CN"/>
        </w:rPr>
        <w:t>《关于开展新一轮挂钩帮扶集体经济薄弱村工作的实施方案》，并对挂钩帮扶的成效、资金、项目安排等信息进行公开。加大棚户区改造、保障性住房等信息的公开力度，发布棚户区改造和保障性住房信息20余条，实现了棚改项目进展、保障房的房源、申请程序、配租和选房摇号结果全公开。推进环境保护信息公开，通过微博和门户网站空气质量指数发布平台发布空气质量日报近200条，公开空气质量指数、优良程度、首要污染物、24小时环境质量状况等信息。对全市17家国家重点监控企业进行日常在线监控，发布监控数据</w:t>
      </w:r>
      <w:r>
        <w:rPr>
          <w:rFonts w:hint="eastAsia" w:ascii="仿宋_GB2312" w:hAnsi="仿宋_GB2312" w:eastAsia="仿宋_GB2312" w:cs="仿宋_GB2312"/>
          <w:sz w:val="32"/>
          <w:szCs w:val="32"/>
          <w:lang w:val="en-US" w:eastAsia="zh-CN"/>
        </w:rPr>
        <w:t>23.2</w:t>
      </w:r>
      <w:r>
        <w:rPr>
          <w:rFonts w:hint="eastAsia" w:ascii="仿宋_GB2312" w:hAnsi="仿宋_GB2312" w:eastAsia="仿宋_GB2312" w:cs="仿宋_GB2312"/>
          <w:sz w:val="32"/>
          <w:szCs w:val="32"/>
          <w:lang w:eastAsia="zh-CN"/>
        </w:rPr>
        <w:t>万条，数据向社会公布，接受公众查询和监督。加强环评信息公开，在“中国太仓”政府门户网站设立“建设项目信息公示”专栏，督促建设单位主动做好建设项目环境影响报告书、表全本信息的公开，并在受理、审批前、审批后分别进行公示，做到全过程主动公开，自觉接受社会监督。</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1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4.围绕助力政府建设推进公开。</w:t>
      </w:r>
      <w:r>
        <w:rPr>
          <w:rFonts w:hint="eastAsia" w:ascii="仿宋_GB2312" w:hAnsi="仿宋_GB2312" w:eastAsia="仿宋_GB2312" w:cs="仿宋_GB2312"/>
          <w:sz w:val="32"/>
          <w:szCs w:val="32"/>
        </w:rPr>
        <w:t>制定</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公布</w:t>
      </w:r>
      <w:r>
        <w:rPr>
          <w:rFonts w:hint="eastAsia" w:ascii="仿宋_GB2312" w:hAnsi="仿宋_GB2312" w:eastAsia="仿宋_GB2312" w:cs="仿宋_GB2312"/>
          <w:sz w:val="32"/>
          <w:szCs w:val="32"/>
          <w:lang w:val="en-US" w:eastAsia="zh-CN"/>
        </w:rPr>
        <w:t>2016</w:t>
      </w:r>
      <w:r>
        <w:rPr>
          <w:rFonts w:hint="eastAsia" w:ascii="仿宋_GB2312" w:hAnsi="仿宋_GB2312" w:eastAsia="仿宋_GB2312" w:cs="仿宋_GB2312"/>
          <w:sz w:val="32"/>
          <w:szCs w:val="32"/>
        </w:rPr>
        <w:t>年度重大行政决策目录，确定全市具有基础性、全局性和影响面广的重大行政决策事项。</w:t>
      </w:r>
      <w:r>
        <w:rPr>
          <w:rFonts w:hint="eastAsia" w:ascii="仿宋_GB2312" w:hAnsi="仿宋_GB2312" w:eastAsia="仿宋_GB2312" w:cs="仿宋_GB2312"/>
          <w:sz w:val="32"/>
          <w:szCs w:val="32"/>
          <w:lang w:eastAsia="zh-CN"/>
        </w:rPr>
        <w:t>重点围绕文化教育、医疗卫生、资源开发、环境保护、社会保障、公用事业等重大民生事项，按照</w:t>
      </w:r>
      <w:r>
        <w:rPr>
          <w:rFonts w:hint="eastAsia" w:ascii="仿宋_GB2312" w:hAnsi="仿宋_GB2312" w:eastAsia="仿宋_GB2312" w:cs="仿宋_GB2312"/>
          <w:sz w:val="32"/>
          <w:szCs w:val="32"/>
        </w:rPr>
        <w:t>《太仓市重大行政决策程序规定》</w:t>
      </w:r>
      <w:r>
        <w:rPr>
          <w:rFonts w:hint="eastAsia" w:ascii="仿宋_GB2312" w:hAnsi="仿宋_GB2312" w:eastAsia="仿宋_GB2312" w:cs="仿宋_GB2312"/>
          <w:sz w:val="32"/>
          <w:szCs w:val="32"/>
          <w:lang w:eastAsia="zh-CN"/>
        </w:rPr>
        <w:t>，通过政府门户网站向社会发布决策草案和依据，落实</w:t>
      </w:r>
      <w:r>
        <w:rPr>
          <w:rFonts w:hint="eastAsia" w:ascii="仿宋_GB2312" w:hAnsi="仿宋_GB2312" w:eastAsia="仿宋_GB2312" w:cs="仿宋_GB2312"/>
          <w:sz w:val="32"/>
          <w:szCs w:val="32"/>
        </w:rPr>
        <w:t>公众参与、专家论证、风险评估、合法性审查、廉洁性审查和集体讨论的程序规定，实现</w:t>
      </w:r>
      <w:r>
        <w:rPr>
          <w:rFonts w:hint="eastAsia" w:ascii="仿宋_GB2312" w:hAnsi="仿宋_GB2312" w:eastAsia="仿宋_GB2312" w:cs="仿宋_GB2312"/>
          <w:sz w:val="32"/>
          <w:szCs w:val="32"/>
          <w:lang w:eastAsia="zh-CN"/>
        </w:rPr>
        <w:t>重大</w:t>
      </w:r>
      <w:r>
        <w:rPr>
          <w:rFonts w:hint="eastAsia" w:ascii="仿宋_GB2312" w:hAnsi="仿宋_GB2312" w:eastAsia="仿宋_GB2312" w:cs="仿宋_GB2312"/>
          <w:sz w:val="32"/>
          <w:szCs w:val="32"/>
        </w:rPr>
        <w:t>行政决策</w:t>
      </w:r>
      <w:r>
        <w:rPr>
          <w:rFonts w:hint="eastAsia" w:ascii="仿宋_GB2312" w:hAnsi="仿宋_GB2312" w:eastAsia="仿宋_GB2312" w:cs="仿宋_GB2312"/>
          <w:sz w:val="32"/>
          <w:szCs w:val="32"/>
          <w:lang w:eastAsia="zh-CN"/>
        </w:rPr>
        <w:t>预</w:t>
      </w:r>
      <w:r>
        <w:rPr>
          <w:rFonts w:hint="eastAsia" w:ascii="仿宋_GB2312" w:hAnsi="仿宋_GB2312" w:eastAsia="仿宋_GB2312" w:cs="仿宋_GB2312"/>
          <w:sz w:val="32"/>
          <w:szCs w:val="32"/>
        </w:rPr>
        <w:t>公开。</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0" w:firstLineChars="20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（三）创新载体，搭建政务公开新平台</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1.继续发挥传统载体的作用。</w:t>
      </w:r>
      <w:r>
        <w:rPr>
          <w:rFonts w:hint="eastAsia" w:ascii="仿宋_GB2312" w:hAnsi="仿宋_GB2312" w:eastAsia="仿宋_GB2312" w:cs="仿宋_GB2312"/>
          <w:sz w:val="32"/>
          <w:szCs w:val="32"/>
          <w:lang w:val="en-US" w:eastAsia="zh-CN"/>
        </w:rPr>
        <w:t>针对不同社会群体，采取多种传播策略，</w:t>
      </w:r>
      <w:r>
        <w:rPr>
          <w:rFonts w:hint="eastAsia" w:ascii="仿宋_GB2312" w:hAnsi="仿宋_GB2312" w:eastAsia="仿宋_GB2312" w:cs="仿宋_GB2312"/>
          <w:sz w:val="32"/>
          <w:szCs w:val="32"/>
        </w:rPr>
        <w:t>充分发挥《太仓日报》舆论引导作用，积极做好政策解读工作，</w:t>
      </w:r>
      <w:r>
        <w:rPr>
          <w:rFonts w:hint="eastAsia" w:ascii="仿宋_GB2312" w:hAnsi="仿宋_GB2312" w:eastAsia="仿宋_GB2312" w:cs="仿宋_GB2312"/>
          <w:sz w:val="32"/>
          <w:szCs w:val="32"/>
          <w:lang w:eastAsia="zh-CN"/>
        </w:rPr>
        <w:t>在本地新闻版以专题栏目的形式对</w:t>
      </w:r>
      <w:r>
        <w:rPr>
          <w:rFonts w:hint="eastAsia" w:ascii="仿宋_GB2312" w:hAnsi="仿宋_GB2312" w:eastAsia="仿宋_GB2312" w:cs="仿宋_GB2312"/>
          <w:sz w:val="32"/>
          <w:szCs w:val="32"/>
        </w:rPr>
        <w:t>“营改增”、“不动产统一登记”等重大政策</w:t>
      </w:r>
      <w:r>
        <w:rPr>
          <w:rFonts w:hint="eastAsia" w:ascii="仿宋_GB2312" w:hAnsi="仿宋_GB2312" w:eastAsia="仿宋_GB2312" w:cs="仿宋_GB2312"/>
          <w:sz w:val="32"/>
          <w:szCs w:val="32"/>
          <w:lang w:eastAsia="zh-CN"/>
        </w:rPr>
        <w:t>进行</w:t>
      </w:r>
      <w:r>
        <w:rPr>
          <w:rFonts w:hint="eastAsia" w:ascii="仿宋_GB2312" w:hAnsi="仿宋_GB2312" w:eastAsia="仿宋_GB2312" w:cs="仿宋_GB2312"/>
          <w:sz w:val="32"/>
          <w:szCs w:val="32"/>
        </w:rPr>
        <w:t>连续性解读；在周末增刊《娄东民生》报上，专门开设“政策速递”版面 ，及时传递江苏省所出台的各类政策</w:t>
      </w:r>
      <w:r>
        <w:rPr>
          <w:rFonts w:hint="eastAsia" w:ascii="仿宋_GB2312" w:hAnsi="仿宋_GB2312" w:eastAsia="仿宋_GB2312" w:cs="仿宋_GB2312"/>
          <w:sz w:val="32"/>
          <w:szCs w:val="32"/>
          <w:lang w:eastAsia="zh-CN"/>
        </w:rPr>
        <w:t>，发布</w:t>
      </w:r>
      <w:r>
        <w:rPr>
          <w:rFonts w:hint="eastAsia" w:ascii="仿宋_GB2312" w:hAnsi="仿宋_GB2312" w:eastAsia="仿宋_GB2312" w:cs="仿宋_GB2312"/>
          <w:sz w:val="32"/>
          <w:szCs w:val="32"/>
        </w:rPr>
        <w:t>宣传版面</w:t>
      </w:r>
      <w:r>
        <w:rPr>
          <w:rFonts w:hint="eastAsia" w:ascii="仿宋_GB2312" w:hAnsi="仿宋_GB2312" w:eastAsia="仿宋_GB2312" w:cs="仿宋_GB2312"/>
          <w:sz w:val="32"/>
          <w:szCs w:val="32"/>
          <w:lang w:val="en-US" w:eastAsia="zh-CN"/>
        </w:rPr>
        <w:t>80余</w:t>
      </w:r>
      <w:r>
        <w:rPr>
          <w:rFonts w:hint="eastAsia" w:ascii="仿宋_GB2312" w:hAnsi="仿宋_GB2312" w:eastAsia="仿宋_GB2312" w:cs="仿宋_GB2312"/>
          <w:sz w:val="32"/>
          <w:szCs w:val="32"/>
        </w:rPr>
        <w:t>个。</w:t>
      </w:r>
    </w:p>
    <w:p>
      <w:pPr>
        <w:keepNext w:val="0"/>
        <w:keepLines w:val="0"/>
        <w:pageBreakBefore w:val="0"/>
        <w:kinsoku/>
        <w:wordWrap/>
        <w:overflowPunct/>
        <w:topLinePunct w:val="0"/>
        <w:autoSpaceDE/>
        <w:autoSpaceDN/>
        <w:bidi w:val="0"/>
        <w:adjustRightInd w:val="0"/>
        <w:snapToGrid w:val="0"/>
        <w:spacing w:beforeAutospacing="0" w:afterAutospacing="0"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2.提升政府信息发布平台的作用。</w:t>
      </w:r>
      <w:r>
        <w:rPr>
          <w:rFonts w:hint="eastAsia" w:ascii="仿宋_GB2312" w:hAnsi="仿宋_GB2312" w:eastAsia="仿宋_GB2312" w:cs="仿宋_GB2312"/>
          <w:sz w:val="32"/>
          <w:szCs w:val="32"/>
          <w:lang w:eastAsia="zh-CN"/>
        </w:rPr>
        <w:t>开展太仓市政府网站集约化建设工作，</w:t>
      </w:r>
      <w:r>
        <w:rPr>
          <w:rFonts w:hint="eastAsia" w:ascii="仿宋_GB2312" w:hAnsi="仿宋_GB2312" w:eastAsia="仿宋_GB2312" w:cs="仿宋_GB2312"/>
          <w:sz w:val="32"/>
          <w:szCs w:val="32"/>
        </w:rPr>
        <w:t>通过</w:t>
      </w:r>
      <w:r>
        <w:rPr>
          <w:rFonts w:hint="eastAsia" w:ascii="仿宋_GB2312" w:hAnsi="仿宋_GB2312" w:eastAsia="仿宋_GB2312" w:cs="仿宋_GB2312"/>
          <w:sz w:val="32"/>
          <w:szCs w:val="32"/>
          <w:lang w:eastAsia="zh-CN"/>
        </w:rPr>
        <w:t>平台、信息和服务的高效整合</w:t>
      </w:r>
      <w:r>
        <w:rPr>
          <w:rFonts w:hint="eastAsia" w:ascii="仿宋_GB2312" w:hAnsi="仿宋_GB2312" w:eastAsia="仿宋_GB2312" w:cs="仿宋_GB2312"/>
          <w:sz w:val="32"/>
          <w:szCs w:val="32"/>
        </w:rPr>
        <w:t>，切实转变政府</w:t>
      </w:r>
      <w:r>
        <w:rPr>
          <w:rFonts w:hint="eastAsia" w:ascii="仿宋_GB2312" w:hAnsi="仿宋_GB2312" w:eastAsia="仿宋_GB2312" w:cs="仿宋_GB2312"/>
          <w:sz w:val="32"/>
          <w:szCs w:val="32"/>
          <w:lang w:eastAsia="zh-CN"/>
        </w:rPr>
        <w:t>网站</w:t>
      </w:r>
      <w:r>
        <w:rPr>
          <w:rFonts w:hint="eastAsia" w:ascii="仿宋_GB2312" w:hAnsi="仿宋_GB2312" w:eastAsia="仿宋_GB2312" w:cs="仿宋_GB2312"/>
          <w:sz w:val="32"/>
          <w:szCs w:val="32"/>
        </w:rPr>
        <w:t>职能，完善政府网站体系，优化结构布局。</w:t>
      </w:r>
      <w:r>
        <w:rPr>
          <w:rFonts w:hint="eastAsia" w:ascii="仿宋_GB2312" w:hAnsi="仿宋_GB2312" w:eastAsia="仿宋_GB2312" w:cs="仿宋_GB2312"/>
          <w:sz w:val="32"/>
          <w:szCs w:val="32"/>
          <w:lang w:eastAsia="zh-CN"/>
        </w:rPr>
        <w:t>到</w:t>
      </w:r>
      <w:r>
        <w:rPr>
          <w:rFonts w:hint="eastAsia" w:ascii="仿宋_GB2312" w:hAnsi="仿宋_GB2312" w:eastAsia="仿宋_GB2312" w:cs="仿宋_GB2312"/>
          <w:sz w:val="32"/>
          <w:szCs w:val="32"/>
          <w:lang w:val="en-US" w:eastAsia="zh-CN"/>
        </w:rPr>
        <w:t>2016年9月底，</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全市</w:t>
      </w:r>
      <w:r>
        <w:rPr>
          <w:rFonts w:hint="eastAsia" w:ascii="仿宋_GB2312" w:hAnsi="仿宋_GB2312" w:eastAsia="仿宋_GB2312" w:cs="仿宋_GB2312"/>
          <w:sz w:val="32"/>
          <w:szCs w:val="32"/>
          <w:lang w:val="en-US" w:eastAsia="zh-CN"/>
        </w:rPr>
        <w:t>41家</w:t>
      </w:r>
      <w:r>
        <w:rPr>
          <w:rFonts w:hint="eastAsia" w:ascii="仿宋_GB2312" w:hAnsi="仿宋_GB2312" w:eastAsia="仿宋_GB2312" w:cs="仿宋_GB2312"/>
          <w:sz w:val="32"/>
          <w:szCs w:val="32"/>
          <w:lang w:eastAsia="zh-CN"/>
        </w:rPr>
        <w:t>基层</w:t>
      </w:r>
      <w:r>
        <w:rPr>
          <w:rFonts w:hint="eastAsia" w:ascii="仿宋_GB2312" w:hAnsi="仿宋_GB2312" w:eastAsia="仿宋_GB2312" w:cs="仿宋_GB2312"/>
          <w:sz w:val="32"/>
          <w:szCs w:val="32"/>
        </w:rPr>
        <w:t>政府网站现有的信息发布、解读、回应、互动、服务等必要功能迁移至</w:t>
      </w:r>
      <w:r>
        <w:rPr>
          <w:rFonts w:hint="eastAsia" w:ascii="仿宋_GB2312" w:hAnsi="仿宋_GB2312" w:eastAsia="仿宋_GB2312" w:cs="仿宋_GB2312"/>
          <w:sz w:val="32"/>
          <w:szCs w:val="32"/>
          <w:lang w:eastAsia="zh-CN"/>
        </w:rPr>
        <w:t>“中国太仓”</w:t>
      </w:r>
      <w:r>
        <w:rPr>
          <w:rFonts w:hint="eastAsia" w:ascii="仿宋_GB2312" w:hAnsi="仿宋_GB2312" w:eastAsia="仿宋_GB2312" w:cs="仿宋_GB2312"/>
          <w:sz w:val="32"/>
          <w:szCs w:val="32"/>
        </w:rPr>
        <w:t>门户网站的基础上，</w:t>
      </w:r>
      <w:r>
        <w:rPr>
          <w:rFonts w:hint="eastAsia" w:ascii="仿宋_GB2312" w:hAnsi="仿宋_GB2312" w:eastAsia="仿宋_GB2312" w:cs="仿宋_GB2312"/>
          <w:sz w:val="32"/>
          <w:szCs w:val="32"/>
          <w:lang w:eastAsia="zh-CN"/>
        </w:rPr>
        <w:t>全面、规范</w:t>
      </w:r>
      <w:r>
        <w:rPr>
          <w:rFonts w:hint="eastAsia" w:ascii="仿宋_GB2312" w:hAnsi="仿宋_GB2312" w:eastAsia="仿宋_GB2312" w:cs="仿宋_GB2312"/>
          <w:sz w:val="32"/>
          <w:szCs w:val="32"/>
        </w:rPr>
        <w:t>关闭</w:t>
      </w:r>
      <w:r>
        <w:rPr>
          <w:rFonts w:hint="eastAsia" w:ascii="仿宋_GB2312" w:hAnsi="仿宋_GB2312" w:eastAsia="仿宋_GB2312" w:cs="仿宋_GB2312"/>
          <w:sz w:val="32"/>
          <w:szCs w:val="32"/>
          <w:lang w:eastAsia="zh-CN"/>
        </w:rPr>
        <w:t>县级</w:t>
      </w:r>
      <w:r>
        <w:rPr>
          <w:rFonts w:hint="eastAsia" w:ascii="仿宋_GB2312" w:hAnsi="仿宋_GB2312" w:eastAsia="仿宋_GB2312" w:cs="仿宋_GB2312"/>
          <w:sz w:val="32"/>
          <w:szCs w:val="32"/>
        </w:rPr>
        <w:t>以下政府网站</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3.扩大新媒体信息发布的作用。</w:t>
      </w:r>
      <w:r>
        <w:rPr>
          <w:rFonts w:hint="eastAsia" w:ascii="仿宋_GB2312" w:hAnsi="仿宋_GB2312" w:eastAsia="仿宋_GB2312" w:cs="仿宋_GB2312"/>
          <w:sz w:val="32"/>
          <w:szCs w:val="32"/>
          <w:lang w:eastAsia="zh-CN"/>
        </w:rPr>
        <w:t>不断扩大微信、微博等新媒体手段在政务公开工作中的影响力和覆盖面，目前官方微信“太仓发布”累积关注人数14873人，发布微信图文信息602条，阅读累积596840人次，新浪官方微博、腾讯官方微博“太仓发布”拥有粉丝</w:t>
      </w:r>
      <w:r>
        <w:rPr>
          <w:rFonts w:hint="eastAsia" w:ascii="仿宋_GB2312" w:hAnsi="仿宋_GB2312" w:eastAsia="仿宋_GB2312" w:cs="仿宋_GB2312"/>
          <w:sz w:val="32"/>
          <w:szCs w:val="32"/>
          <w:lang w:val="en-US" w:eastAsia="zh-CN"/>
        </w:rPr>
        <w:t>509915</w:t>
      </w:r>
      <w:r>
        <w:rPr>
          <w:rFonts w:hint="eastAsia" w:ascii="仿宋_GB2312" w:hAnsi="仿宋_GB2312" w:eastAsia="仿宋_GB2312" w:cs="仿宋_GB2312"/>
          <w:sz w:val="32"/>
          <w:szCs w:val="32"/>
          <w:lang w:eastAsia="zh-CN"/>
        </w:rPr>
        <w:t>人，发布微博</w:t>
      </w:r>
      <w:r>
        <w:rPr>
          <w:rFonts w:hint="eastAsia" w:ascii="仿宋_GB2312" w:hAnsi="仿宋_GB2312" w:eastAsia="仿宋_GB2312" w:cs="仿宋_GB2312"/>
          <w:sz w:val="32"/>
          <w:szCs w:val="32"/>
          <w:lang w:val="en-US" w:eastAsia="zh-CN"/>
        </w:rPr>
        <w:t>32534</w:t>
      </w:r>
      <w:r>
        <w:rPr>
          <w:rFonts w:hint="eastAsia" w:ascii="仿宋_GB2312" w:hAnsi="仿宋_GB2312" w:eastAsia="仿宋_GB2312" w:cs="仿宋_GB2312"/>
          <w:sz w:val="32"/>
          <w:szCs w:val="32"/>
          <w:lang w:eastAsia="zh-CN"/>
        </w:rPr>
        <w:t>条，阅读累计次数近560万。在</w:t>
      </w:r>
      <w:r>
        <w:rPr>
          <w:rFonts w:hint="eastAsia" w:ascii="仿宋_GB2312" w:hAnsi="仿宋_GB2312" w:eastAsia="仿宋_GB2312" w:cs="仿宋_GB2312"/>
          <w:sz w:val="32"/>
          <w:szCs w:val="32"/>
        </w:rPr>
        <w:t>及时将我市重大新闻、线上线下活动、公众关注的热点事件、便民信息等信息对外发布</w:t>
      </w:r>
      <w:r>
        <w:rPr>
          <w:rFonts w:hint="eastAsia" w:ascii="仿宋_GB2312" w:hAnsi="仿宋_GB2312" w:eastAsia="仿宋_GB2312" w:cs="仿宋_GB2312"/>
          <w:sz w:val="32"/>
          <w:szCs w:val="32"/>
          <w:lang w:eastAsia="zh-CN"/>
        </w:rPr>
        <w:t>的同时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积极做好政策发布和解读工作，围绕太仓市第十三个五年规划、年度学区划分、高铁站建设规划、“娄东英才”工程、“千人计划”等政策发布信息38条，阅读量近8万。</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4.探索线下服务中心和网上办事大厅的融合作用。</w:t>
      </w:r>
      <w:r>
        <w:rPr>
          <w:rFonts w:hint="eastAsia" w:ascii="仿宋_GB2312" w:hAnsi="仿宋_GB2312" w:eastAsia="仿宋_GB2312" w:cs="仿宋_GB2312"/>
          <w:sz w:val="32"/>
          <w:szCs w:val="32"/>
          <w:lang w:eastAsia="zh-CN"/>
        </w:rPr>
        <w:t>大力推进实体政务服务中心与网上办事大厅结合，共办理各类审批事项517722件，提前办结率95.7%，日均办件量2071。“12345”便民热线，办理市民各类诉求288822件，办结率 99.33%，处理市长信箱1047件，苏州寒山闻钟1542件。不断加大线上线下“虚实一体”的智慧政务平台建设，发挥“互联网+”政务服务效应，加强政务服务审批平台与部门审批系统对接，进一步完善了“移动审批APP”软件系统，提高部门主要负责人签批效率，有效缩短企业候审时间。</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0" w:firstLineChars="20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（四）健全机制，推动政务公开有序开展</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1.探索舆情收集和回应机制。</w:t>
      </w:r>
      <w:r>
        <w:rPr>
          <w:rFonts w:hint="eastAsia" w:ascii="仿宋_GB2312" w:hAnsi="仿宋_GB2312" w:eastAsia="仿宋_GB2312" w:cs="仿宋_GB2312"/>
          <w:spacing w:val="-4"/>
          <w:kern w:val="0"/>
          <w:sz w:val="32"/>
          <w:szCs w:val="32"/>
          <w:lang w:eastAsia="zh-CN"/>
        </w:rPr>
        <w:t>常态化开展舆情监测工作，不断扩大舆情收集范围，在全市建立舆情报送机制，规范舆情回应机制。主动适应新常态下社会关切的转变，充分发挥“太仓发布”</w:t>
      </w:r>
      <w:r>
        <w:rPr>
          <w:rFonts w:hint="eastAsia" w:ascii="仿宋_GB2312" w:hAnsi="仿宋_GB2312" w:eastAsia="仿宋_GB2312" w:cs="仿宋_GB2312"/>
          <w:spacing w:val="-4"/>
          <w:kern w:val="0"/>
          <w:sz w:val="32"/>
          <w:szCs w:val="32"/>
        </w:rPr>
        <w:t>政务双微等新媒体平台互动性</w:t>
      </w:r>
      <w:r>
        <w:rPr>
          <w:rFonts w:hint="eastAsia" w:ascii="仿宋_GB2312" w:hAnsi="仿宋_GB2312" w:eastAsia="仿宋_GB2312" w:cs="仿宋_GB2312"/>
          <w:spacing w:val="-4"/>
          <w:kern w:val="0"/>
          <w:sz w:val="32"/>
          <w:szCs w:val="32"/>
          <w:lang w:eastAsia="zh-CN"/>
        </w:rPr>
        <w:t>强</w:t>
      </w:r>
      <w:r>
        <w:rPr>
          <w:rFonts w:hint="eastAsia" w:ascii="仿宋_GB2312" w:hAnsi="仿宋_GB2312" w:eastAsia="仿宋_GB2312" w:cs="仿宋_GB2312"/>
          <w:spacing w:val="-4"/>
          <w:kern w:val="0"/>
          <w:sz w:val="32"/>
          <w:szCs w:val="32"/>
        </w:rPr>
        <w:t>、参与性</w:t>
      </w:r>
      <w:r>
        <w:rPr>
          <w:rFonts w:hint="eastAsia" w:ascii="仿宋_GB2312" w:hAnsi="仿宋_GB2312" w:eastAsia="仿宋_GB2312" w:cs="仿宋_GB2312"/>
          <w:spacing w:val="-4"/>
          <w:kern w:val="0"/>
          <w:sz w:val="32"/>
          <w:szCs w:val="32"/>
          <w:lang w:eastAsia="zh-CN"/>
        </w:rPr>
        <w:t>高</w:t>
      </w:r>
      <w:r>
        <w:rPr>
          <w:rFonts w:hint="eastAsia" w:ascii="仿宋_GB2312" w:hAnsi="仿宋_GB2312" w:eastAsia="仿宋_GB2312" w:cs="仿宋_GB2312"/>
          <w:spacing w:val="-4"/>
          <w:kern w:val="0"/>
          <w:sz w:val="32"/>
          <w:szCs w:val="32"/>
        </w:rPr>
        <w:t>的特点，</w:t>
      </w:r>
      <w:r>
        <w:rPr>
          <w:rFonts w:hint="eastAsia" w:ascii="仿宋_GB2312" w:hAnsi="仿宋_GB2312" w:eastAsia="仿宋_GB2312" w:cs="仿宋_GB2312"/>
          <w:spacing w:val="-4"/>
          <w:kern w:val="0"/>
          <w:sz w:val="32"/>
          <w:szCs w:val="32"/>
          <w:lang w:eastAsia="zh-CN"/>
        </w:rPr>
        <w:t>对重大舆情</w:t>
      </w:r>
      <w:r>
        <w:rPr>
          <w:rFonts w:hint="eastAsia" w:ascii="仿宋_GB2312" w:hAnsi="仿宋_GB2312" w:eastAsia="仿宋_GB2312" w:cs="仿宋_GB2312"/>
          <w:spacing w:val="-4"/>
          <w:kern w:val="0"/>
          <w:sz w:val="32"/>
          <w:szCs w:val="32"/>
        </w:rPr>
        <w:t>第一时间关注，</w:t>
      </w:r>
      <w:r>
        <w:rPr>
          <w:rFonts w:hint="eastAsia" w:ascii="仿宋_GB2312" w:hAnsi="仿宋_GB2312" w:eastAsia="仿宋_GB2312" w:cs="仿宋_GB2312"/>
          <w:spacing w:val="-4"/>
          <w:kern w:val="0"/>
          <w:sz w:val="32"/>
          <w:szCs w:val="32"/>
          <w:lang w:eastAsia="zh-CN"/>
        </w:rPr>
        <w:t>并要求相关单位</w:t>
      </w:r>
      <w:r>
        <w:rPr>
          <w:rFonts w:hint="eastAsia" w:ascii="仿宋_GB2312" w:hAnsi="仿宋_GB2312" w:eastAsia="仿宋_GB2312" w:cs="仿宋_GB2312"/>
          <w:spacing w:val="-4"/>
          <w:kern w:val="0"/>
          <w:sz w:val="32"/>
          <w:szCs w:val="32"/>
        </w:rPr>
        <w:t>积极主动处理反应的情况和诉求</w:t>
      </w:r>
      <w:r>
        <w:rPr>
          <w:rFonts w:hint="eastAsia" w:ascii="仿宋_GB2312" w:hAnsi="仿宋_GB2312" w:eastAsia="仿宋_GB2312" w:cs="仿宋_GB2312"/>
          <w:spacing w:val="-4"/>
          <w:kern w:val="0"/>
          <w:sz w:val="32"/>
          <w:szCs w:val="32"/>
          <w:lang w:eastAsia="zh-CN"/>
        </w:rPr>
        <w:t>。</w:t>
      </w:r>
      <w:r>
        <w:rPr>
          <w:rFonts w:hint="eastAsia" w:ascii="仿宋_GB2312" w:hAnsi="仿宋_GB2312" w:eastAsia="仿宋_GB2312" w:cs="仿宋_GB2312"/>
          <w:spacing w:val="-4"/>
          <w:kern w:val="0"/>
          <w:sz w:val="32"/>
          <w:szCs w:val="32"/>
        </w:rPr>
        <w:t>共发出《网络舆情转办单》</w:t>
      </w:r>
      <w:r>
        <w:rPr>
          <w:rFonts w:hint="eastAsia" w:ascii="仿宋_GB2312" w:hAnsi="仿宋_GB2312" w:eastAsia="仿宋_GB2312" w:cs="仿宋_GB2312"/>
          <w:spacing w:val="-4"/>
          <w:kern w:val="0"/>
          <w:sz w:val="32"/>
          <w:szCs w:val="32"/>
          <w:lang w:val="en-US" w:eastAsia="zh-CN"/>
        </w:rPr>
        <w:t>50余</w:t>
      </w:r>
      <w:r>
        <w:rPr>
          <w:rFonts w:hint="eastAsia" w:ascii="仿宋_GB2312" w:hAnsi="仿宋_GB2312" w:eastAsia="仿宋_GB2312" w:cs="仿宋_GB2312"/>
          <w:spacing w:val="-4"/>
          <w:kern w:val="0"/>
          <w:sz w:val="32"/>
          <w:szCs w:val="32"/>
        </w:rPr>
        <w:t>份，涉及网友反应的西景瑞环境污染、旧衣回收、浏家港河道污染、亿立商贸城、小区违章搭建、占道经营、高考减招、嘉定垃圾填埋等热点舆情问题</w:t>
      </w:r>
      <w:r>
        <w:rPr>
          <w:rFonts w:hint="eastAsia" w:ascii="仿宋_GB2312" w:hAnsi="仿宋_GB2312" w:eastAsia="仿宋_GB2312" w:cs="仿宋_GB2312"/>
          <w:spacing w:val="-4"/>
          <w:kern w:val="0"/>
          <w:sz w:val="32"/>
          <w:szCs w:val="32"/>
          <w:lang w:eastAsia="zh-CN"/>
        </w:rPr>
        <w:t>；</w:t>
      </w:r>
      <w:r>
        <w:rPr>
          <w:rFonts w:hint="eastAsia" w:ascii="仿宋_GB2312" w:hAnsi="仿宋_GB2312" w:eastAsia="仿宋_GB2312" w:cs="仿宋_GB2312"/>
          <w:spacing w:val="-4"/>
          <w:kern w:val="0"/>
          <w:sz w:val="32"/>
          <w:szCs w:val="32"/>
        </w:rPr>
        <w:t>收到网友留言、评论的各类问题、意见建议</w:t>
      </w:r>
      <w:r>
        <w:rPr>
          <w:rFonts w:hint="eastAsia" w:ascii="仿宋_GB2312" w:hAnsi="仿宋_GB2312" w:eastAsia="仿宋_GB2312" w:cs="仿宋_GB2312"/>
          <w:spacing w:val="-4"/>
          <w:kern w:val="0"/>
          <w:sz w:val="32"/>
          <w:szCs w:val="32"/>
          <w:lang w:val="en-US" w:eastAsia="zh-CN"/>
        </w:rPr>
        <w:t>152</w:t>
      </w:r>
      <w:r>
        <w:rPr>
          <w:rFonts w:hint="eastAsia" w:ascii="仿宋_GB2312" w:hAnsi="仿宋_GB2312" w:eastAsia="仿宋_GB2312" w:cs="仿宋_GB2312"/>
          <w:spacing w:val="-4"/>
          <w:kern w:val="0"/>
          <w:sz w:val="32"/>
          <w:szCs w:val="32"/>
        </w:rPr>
        <w:t>条，涉及停水、停电、公共自行车、市民卡、公交车、出租车等，</w:t>
      </w:r>
      <w:r>
        <w:rPr>
          <w:rFonts w:hint="eastAsia" w:ascii="仿宋_GB2312" w:hAnsi="仿宋_GB2312" w:eastAsia="仿宋_GB2312" w:cs="仿宋_GB2312"/>
          <w:spacing w:val="-4"/>
          <w:kern w:val="0"/>
          <w:sz w:val="32"/>
          <w:szCs w:val="32"/>
          <w:lang w:eastAsia="zh-CN"/>
        </w:rPr>
        <w:t>相关</w:t>
      </w:r>
      <w:r>
        <w:rPr>
          <w:rFonts w:hint="eastAsia" w:ascii="仿宋_GB2312" w:hAnsi="仿宋_GB2312" w:eastAsia="仿宋_GB2312" w:cs="仿宋_GB2312"/>
          <w:spacing w:val="-4"/>
          <w:kern w:val="0"/>
          <w:sz w:val="32"/>
          <w:szCs w:val="32"/>
        </w:rPr>
        <w:t>职能部门进行了回复和解答。</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2.推行政策解读机制。</w:t>
      </w:r>
      <w:r>
        <w:rPr>
          <w:rFonts w:hint="eastAsia" w:ascii="仿宋_GB2312" w:hAnsi="仿宋_GB2312" w:eastAsia="仿宋_GB2312" w:cs="仿宋_GB2312"/>
          <w:sz w:val="32"/>
          <w:szCs w:val="32"/>
          <w:lang w:eastAsia="zh-CN"/>
        </w:rPr>
        <w:t>探索建立</w:t>
      </w:r>
      <w:r>
        <w:rPr>
          <w:rFonts w:hint="eastAsia" w:ascii="仿宋_GB2312" w:hAnsi="仿宋_GB2312" w:eastAsia="仿宋_GB2312" w:cs="仿宋_GB2312"/>
          <w:sz w:val="32"/>
          <w:szCs w:val="32"/>
        </w:rPr>
        <w:t>太仓市政策解读发布机制。要求市级重要政策出台前，牵头起草部门应将文件和解读方案一并报批，并明确3个工作日内需将相关解读材料在“中国太仓”政府门户网站和媒体发布。对涉及面广、社会关注度高的重要政策和重大措施，有关部门主要负责人应当通过参加新闻发布会、接受在线访谈、发表文章等方式带头宣讲政策，解释疑惑，传递权威信息。建立主要负责人政策解读机制。与宏观经济和民生关系密切的市有关部门主要负责人，每年解读重要政策措施不少于3次。</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1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3.完善培训机制。</w:t>
      </w:r>
      <w:r>
        <w:rPr>
          <w:rFonts w:hint="eastAsia" w:ascii="仿宋_GB2312" w:hAnsi="仿宋_GB2312" w:eastAsia="仿宋_GB2312" w:cs="仿宋_GB2312"/>
          <w:sz w:val="32"/>
          <w:szCs w:val="32"/>
        </w:rPr>
        <w:t>针对工作人员变动快</w:t>
      </w:r>
      <w:r>
        <w:rPr>
          <w:rFonts w:hint="eastAsia" w:ascii="仿宋_GB2312" w:hAnsi="仿宋_GB2312" w:eastAsia="仿宋_GB2312" w:cs="仿宋_GB2312"/>
          <w:sz w:val="32"/>
          <w:szCs w:val="32"/>
          <w:lang w:eastAsia="zh-CN"/>
        </w:rPr>
        <w:t>的特点</w:t>
      </w:r>
      <w:r>
        <w:rPr>
          <w:rFonts w:hint="eastAsia" w:ascii="仿宋_GB2312" w:hAnsi="仿宋_GB2312" w:eastAsia="仿宋_GB2312" w:cs="仿宋_GB2312"/>
          <w:sz w:val="32"/>
          <w:szCs w:val="32"/>
        </w:rPr>
        <w:t>，组织</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政府信息公开专题培训会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，邀请</w:t>
      </w:r>
      <w:r>
        <w:rPr>
          <w:rFonts w:hint="eastAsia" w:ascii="仿宋_GB2312" w:hAnsi="仿宋_GB2312" w:eastAsia="仿宋_GB2312" w:cs="仿宋_GB2312"/>
          <w:sz w:val="32"/>
          <w:szCs w:val="32"/>
          <w:lang w:eastAsia="zh-CN"/>
        </w:rPr>
        <w:t>苏州市</w:t>
      </w:r>
      <w:r>
        <w:rPr>
          <w:rFonts w:hint="eastAsia" w:ascii="仿宋_GB2312" w:hAnsi="仿宋_GB2312" w:eastAsia="仿宋_GB2312" w:cs="仿宋_GB2312"/>
          <w:sz w:val="32"/>
          <w:szCs w:val="32"/>
        </w:rPr>
        <w:t>专家学者就政府信息公开相关政策法规、业务工作开展等情况进行讲解，并对</w:t>
      </w:r>
      <w:r>
        <w:rPr>
          <w:rFonts w:hint="eastAsia" w:ascii="仿宋_GB2312" w:hAnsi="仿宋_GB2312" w:eastAsia="仿宋_GB2312" w:cs="仿宋_GB2312"/>
          <w:sz w:val="32"/>
          <w:szCs w:val="32"/>
          <w:lang w:eastAsia="zh-CN"/>
        </w:rPr>
        <w:t>依申请公开和</w:t>
      </w:r>
      <w:r>
        <w:rPr>
          <w:rFonts w:hint="eastAsia" w:ascii="仿宋_GB2312" w:hAnsi="仿宋_GB2312" w:eastAsia="仿宋_GB2312" w:cs="仿宋_GB2312"/>
          <w:sz w:val="32"/>
          <w:szCs w:val="32"/>
        </w:rPr>
        <w:t>政府</w:t>
      </w:r>
      <w:r>
        <w:rPr>
          <w:rFonts w:hint="eastAsia" w:ascii="仿宋_GB2312" w:hAnsi="仿宋_GB2312" w:eastAsia="仿宋_GB2312" w:cs="仿宋_GB2312"/>
          <w:sz w:val="32"/>
          <w:szCs w:val="32"/>
          <w:lang w:eastAsia="zh-CN"/>
        </w:rPr>
        <w:t>内容保障</w:t>
      </w:r>
      <w:r>
        <w:rPr>
          <w:rFonts w:hint="eastAsia" w:ascii="仿宋_GB2312" w:hAnsi="仿宋_GB2312" w:eastAsia="仿宋_GB2312" w:cs="仿宋_GB2312"/>
          <w:sz w:val="32"/>
          <w:szCs w:val="32"/>
        </w:rPr>
        <w:t>系统进行</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业务培训，不断提升</w:t>
      </w:r>
      <w:r>
        <w:rPr>
          <w:rFonts w:hint="eastAsia" w:ascii="仿宋_GB2312" w:hAnsi="仿宋_GB2312" w:eastAsia="仿宋_GB2312" w:cs="仿宋_GB2312"/>
          <w:sz w:val="32"/>
          <w:szCs w:val="32"/>
          <w:lang w:eastAsia="zh-CN"/>
        </w:rPr>
        <w:t>政务</w:t>
      </w:r>
      <w:r>
        <w:rPr>
          <w:rFonts w:hint="eastAsia" w:ascii="仿宋_GB2312" w:hAnsi="仿宋_GB2312" w:eastAsia="仿宋_GB2312" w:cs="仿宋_GB2312"/>
          <w:sz w:val="32"/>
          <w:szCs w:val="32"/>
        </w:rPr>
        <w:t>公开具体经办人员的理论素养和业务能力。</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0" w:firstLineChars="200"/>
        <w:jc w:val="both"/>
        <w:textAlignment w:val="auto"/>
        <w:rPr>
          <w:rFonts w:hint="eastAsia" w:ascii="仿宋_GB2312" w:hAnsi="仿宋_GB2312" w:eastAsia="仿宋_GB2312" w:cs="仿宋_GB2312"/>
          <w:spacing w:val="-4"/>
          <w:kern w:val="0"/>
          <w:sz w:val="32"/>
          <w:szCs w:val="32"/>
          <w:lang w:val="en-US" w:eastAsia="zh-CN"/>
        </w:rPr>
      </w:pPr>
      <w:r>
        <w:rPr>
          <w:rFonts w:hint="eastAsia" w:ascii="仿宋_GB2312" w:hAnsi="仿宋_GB2312" w:eastAsia="仿宋_GB2312" w:cs="仿宋_GB2312"/>
          <w:b/>
          <w:bCs/>
          <w:sz w:val="32"/>
          <w:szCs w:val="32"/>
          <w:lang w:val="en-US" w:eastAsia="zh-CN"/>
        </w:rPr>
        <w:t>4.加强监督考核机制。</w:t>
      </w:r>
      <w:r>
        <w:rPr>
          <w:rFonts w:hint="eastAsia" w:ascii="仿宋_GB2312" w:hAnsi="仿宋_GB2312" w:eastAsia="仿宋_GB2312" w:cs="仿宋_GB2312"/>
          <w:sz w:val="32"/>
          <w:szCs w:val="32"/>
        </w:rPr>
        <w:t>建立网上巡查工作机制，定期对各部门</w:t>
      </w:r>
      <w:r>
        <w:rPr>
          <w:rFonts w:hint="eastAsia" w:ascii="仿宋_GB2312" w:hAnsi="仿宋_GB2312" w:eastAsia="仿宋_GB2312" w:cs="仿宋_GB2312"/>
          <w:sz w:val="32"/>
          <w:szCs w:val="32"/>
          <w:lang w:eastAsia="zh-CN"/>
        </w:rPr>
        <w:t>政务</w:t>
      </w:r>
      <w:r>
        <w:rPr>
          <w:rFonts w:hint="eastAsia" w:ascii="仿宋_GB2312" w:hAnsi="仿宋_GB2312" w:eastAsia="仿宋_GB2312" w:cs="仿宋_GB2312"/>
          <w:sz w:val="32"/>
          <w:szCs w:val="32"/>
        </w:rPr>
        <w:t>公开情况进行全覆盖检查，不留死角。结合重点</w:t>
      </w:r>
      <w:r>
        <w:rPr>
          <w:rFonts w:hint="eastAsia" w:ascii="仿宋_GB2312" w:hAnsi="仿宋_GB2312" w:eastAsia="仿宋_GB2312" w:cs="仿宋_GB2312"/>
          <w:sz w:val="32"/>
          <w:szCs w:val="32"/>
          <w:lang w:eastAsia="zh-CN"/>
        </w:rPr>
        <w:t>方面政务</w:t>
      </w:r>
      <w:r>
        <w:rPr>
          <w:rFonts w:hint="eastAsia" w:ascii="仿宋_GB2312" w:hAnsi="仿宋_GB2312" w:eastAsia="仿宋_GB2312" w:cs="仿宋_GB2312"/>
          <w:sz w:val="32"/>
          <w:szCs w:val="32"/>
        </w:rPr>
        <w:t>信息公开目录</w:t>
      </w:r>
      <w:r>
        <w:rPr>
          <w:rFonts w:hint="eastAsia" w:ascii="仿宋_GB2312" w:hAnsi="仿宋_GB2312" w:eastAsia="仿宋_GB2312" w:cs="仿宋_GB2312"/>
          <w:color w:val="000000"/>
          <w:sz w:val="32"/>
          <w:szCs w:val="32"/>
        </w:rPr>
        <w:t>逐项、逐条检查，确保</w:t>
      </w:r>
      <w:r>
        <w:rPr>
          <w:rFonts w:hint="eastAsia" w:ascii="仿宋_GB2312" w:hAnsi="仿宋_GB2312" w:eastAsia="仿宋_GB2312" w:cs="仿宋_GB2312"/>
          <w:sz w:val="32"/>
          <w:szCs w:val="32"/>
        </w:rPr>
        <w:t>各单位及时、</w:t>
      </w:r>
      <w:r>
        <w:rPr>
          <w:rFonts w:hint="eastAsia" w:ascii="仿宋_GB2312" w:hAnsi="仿宋_GB2312" w:eastAsia="仿宋_GB2312" w:cs="仿宋_GB2312"/>
          <w:spacing w:val="-4"/>
          <w:kern w:val="0"/>
          <w:sz w:val="32"/>
          <w:szCs w:val="32"/>
        </w:rPr>
        <w:t>规范、准确发布信息。发现问题及时向相关单位进行反馈，并对各单位整改情况进行“</w:t>
      </w:r>
      <w:r>
        <w:rPr>
          <w:rFonts w:hint="eastAsia" w:ascii="仿宋_GB2312" w:hAnsi="仿宋_GB2312" w:eastAsia="仿宋_GB2312" w:cs="仿宋_GB2312"/>
          <w:spacing w:val="-4"/>
          <w:kern w:val="0"/>
          <w:sz w:val="32"/>
          <w:szCs w:val="32"/>
          <w:lang w:eastAsia="zh-CN"/>
        </w:rPr>
        <w:t>回头看</w:t>
      </w:r>
      <w:r>
        <w:rPr>
          <w:rFonts w:hint="eastAsia" w:ascii="仿宋_GB2312" w:hAnsi="仿宋_GB2312" w:eastAsia="仿宋_GB2312" w:cs="仿宋_GB2312"/>
          <w:spacing w:val="-4"/>
          <w:kern w:val="0"/>
          <w:sz w:val="32"/>
          <w:szCs w:val="32"/>
        </w:rPr>
        <w:t>”抽查，督促整改落实到位。建立定期通报机制，每</w:t>
      </w:r>
      <w:r>
        <w:rPr>
          <w:rFonts w:hint="eastAsia" w:ascii="仿宋_GB2312" w:hAnsi="仿宋_GB2312" w:eastAsia="仿宋_GB2312" w:cs="仿宋_GB2312"/>
          <w:spacing w:val="-4"/>
          <w:kern w:val="0"/>
          <w:sz w:val="32"/>
          <w:szCs w:val="32"/>
          <w:lang w:eastAsia="zh-CN"/>
        </w:rPr>
        <w:t>季度</w:t>
      </w:r>
      <w:r>
        <w:rPr>
          <w:rFonts w:hint="eastAsia" w:ascii="仿宋_GB2312" w:hAnsi="仿宋_GB2312" w:eastAsia="仿宋_GB2312" w:cs="仿宋_GB2312"/>
          <w:spacing w:val="-4"/>
          <w:kern w:val="0"/>
          <w:sz w:val="32"/>
          <w:szCs w:val="32"/>
        </w:rPr>
        <w:t>对各单位信息发布情况进行通报，指出存在问题，对工作开展不力、进展缓慢的单位限期整改。</w:t>
      </w:r>
      <w:r>
        <w:rPr>
          <w:rFonts w:hint="eastAsia" w:ascii="仿宋_GB2312" w:hAnsi="仿宋_GB2312" w:eastAsia="仿宋_GB2312" w:cs="仿宋_GB2312"/>
          <w:spacing w:val="-4"/>
          <w:kern w:val="0"/>
          <w:sz w:val="32"/>
          <w:szCs w:val="32"/>
          <w:lang w:eastAsia="zh-CN"/>
        </w:rPr>
        <w:t>将</w:t>
      </w:r>
      <w:r>
        <w:rPr>
          <w:rFonts w:hint="eastAsia" w:ascii="仿宋_GB2312" w:hAnsi="仿宋_GB2312" w:eastAsia="仿宋_GB2312" w:cs="仿宋_GB2312"/>
          <w:spacing w:val="-4"/>
          <w:kern w:val="0"/>
          <w:sz w:val="32"/>
          <w:szCs w:val="32"/>
          <w:lang w:val="en-US" w:eastAsia="zh-CN"/>
        </w:rPr>
        <w:t>政务公开纳入2016年度市级机关部门绩效管理考核体系，分值6分，权重6%。</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0" w:firstLineChars="200"/>
        <w:jc w:val="both"/>
        <w:textAlignment w:val="auto"/>
        <w:rPr>
          <w:rFonts w:hint="eastAsia" w:ascii="黑体" w:hAnsi="黑体" w:eastAsia="黑体" w:cs="黑体"/>
          <w:spacing w:val="-4"/>
          <w:kern w:val="0"/>
          <w:sz w:val="32"/>
          <w:szCs w:val="32"/>
          <w:lang w:eastAsia="zh-CN"/>
        </w:rPr>
      </w:pPr>
      <w:r>
        <w:rPr>
          <w:rFonts w:hint="eastAsia" w:ascii="黑体" w:hAnsi="黑体" w:eastAsia="黑体" w:cs="黑体"/>
          <w:spacing w:val="-4"/>
          <w:kern w:val="0"/>
          <w:sz w:val="32"/>
          <w:szCs w:val="32"/>
          <w:lang w:eastAsia="zh-CN"/>
        </w:rPr>
        <w:t>三、依申请公开及复议、诉讼和申诉情况</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4"/>
          <w:kern w:val="0"/>
          <w:sz w:val="32"/>
          <w:szCs w:val="32"/>
          <w:lang w:eastAsia="zh-CN"/>
        </w:rPr>
        <w:t>充分发挥互联网和政务服务中心的作用，为申请人提供便捷服务，</w:t>
      </w:r>
      <w:r>
        <w:rPr>
          <w:rFonts w:hint="eastAsia" w:ascii="仿宋_GB2312" w:hAnsi="仿宋_GB2312" w:eastAsia="仿宋_GB2312" w:cs="仿宋_GB2312"/>
          <w:spacing w:val="-4"/>
          <w:kern w:val="0"/>
          <w:sz w:val="32"/>
          <w:szCs w:val="32"/>
          <w:lang w:val="en-US" w:eastAsia="zh-CN"/>
        </w:rPr>
        <w:t>2016年</w:t>
      </w:r>
      <w:r>
        <w:rPr>
          <w:rFonts w:hint="eastAsia" w:ascii="仿宋_GB2312" w:hAnsi="仿宋_GB2312" w:eastAsia="仿宋_GB2312" w:cs="仿宋_GB2312"/>
          <w:spacing w:val="-4"/>
          <w:kern w:val="0"/>
          <w:sz w:val="32"/>
          <w:szCs w:val="32"/>
          <w:lang w:eastAsia="zh-CN"/>
        </w:rPr>
        <w:t>共处理依申请公开</w:t>
      </w:r>
      <w:r>
        <w:rPr>
          <w:rFonts w:hint="eastAsia" w:ascii="仿宋_GB2312" w:hAnsi="仿宋_GB2312" w:eastAsia="仿宋_GB2312" w:cs="仿宋_GB2312"/>
          <w:spacing w:val="-4"/>
          <w:kern w:val="0"/>
          <w:sz w:val="32"/>
          <w:szCs w:val="32"/>
          <w:lang w:val="en-US" w:eastAsia="zh-CN"/>
        </w:rPr>
        <w:t>13件，办结13件，平均3个工作日进行答复，满意率达100%</w:t>
      </w:r>
      <w:r>
        <w:rPr>
          <w:rFonts w:hint="eastAsia" w:ascii="仿宋_GB2312" w:hAnsi="仿宋_GB2312" w:eastAsia="仿宋_GB2312" w:cs="仿宋_GB2312"/>
          <w:spacing w:val="-4"/>
          <w:kern w:val="0"/>
          <w:sz w:val="32"/>
          <w:szCs w:val="32"/>
          <w:lang w:eastAsia="zh-CN"/>
        </w:rPr>
        <w:t>。201</w:t>
      </w:r>
      <w:r>
        <w:rPr>
          <w:rFonts w:hint="eastAsia" w:ascii="仿宋_GB2312" w:hAnsi="仿宋_GB2312" w:eastAsia="仿宋_GB2312" w:cs="仿宋_GB2312"/>
          <w:spacing w:val="-4"/>
          <w:kern w:val="0"/>
          <w:sz w:val="32"/>
          <w:szCs w:val="32"/>
          <w:lang w:val="en-US" w:eastAsia="zh-CN"/>
        </w:rPr>
        <w:t>6</w:t>
      </w:r>
      <w:r>
        <w:rPr>
          <w:rFonts w:hint="eastAsia" w:ascii="仿宋_GB2312" w:hAnsi="仿宋_GB2312" w:eastAsia="仿宋_GB2312" w:cs="仿宋_GB2312"/>
          <w:spacing w:val="-4"/>
          <w:kern w:val="0"/>
          <w:sz w:val="32"/>
          <w:szCs w:val="32"/>
          <w:lang w:eastAsia="zh-CN"/>
        </w:rPr>
        <w:t>年我市本级无行政复议、诉</w:t>
      </w:r>
      <w:r>
        <w:rPr>
          <w:rFonts w:hint="eastAsia" w:ascii="仿宋_GB2312" w:hAnsi="仿宋_GB2312" w:eastAsia="仿宋_GB2312" w:cs="仿宋_GB2312"/>
          <w:sz w:val="32"/>
          <w:szCs w:val="32"/>
          <w:lang w:eastAsia="zh-CN"/>
        </w:rPr>
        <w:t>讼和申诉情况。</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四、政府信息公开支出及收费情况</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2016</w:t>
      </w:r>
      <w:r>
        <w:rPr>
          <w:rFonts w:hint="eastAsia" w:ascii="仿宋_GB2312" w:hAnsi="仿宋_GB2312" w:eastAsia="仿宋_GB2312" w:cs="仿宋_GB2312"/>
          <w:sz w:val="32"/>
          <w:szCs w:val="32"/>
          <w:lang w:eastAsia="zh-CN"/>
        </w:rPr>
        <w:t>年我市用于政府信息公开平台运营维护花费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万元。</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五、人大代表建议和政协委员提案办理结果公开情况</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2016年，我市通过中国太仓主页专栏的形式，对相关提案办理结果进行了公开，地址为：http://www.taicang.gov.cn/col/col15324/index.html和http://www.taicang.gov.cn/col/col1682/index.html。</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六、存在的问题</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sz w:val="32"/>
          <w:szCs w:val="32"/>
          <w:lang w:val="en-US" w:eastAsia="zh-CN"/>
        </w:rPr>
        <w:t>2016年</w:t>
      </w:r>
      <w:r>
        <w:rPr>
          <w:rFonts w:hint="eastAsia" w:ascii="仿宋_GB2312" w:hAnsi="仿宋_GB2312" w:eastAsia="仿宋_GB2312" w:cs="仿宋_GB2312"/>
          <w:sz w:val="32"/>
          <w:szCs w:val="32"/>
        </w:rPr>
        <w:t>，我市</w:t>
      </w:r>
      <w:r>
        <w:rPr>
          <w:rFonts w:hint="eastAsia" w:ascii="仿宋_GB2312" w:hAnsi="仿宋_GB2312" w:eastAsia="仿宋_GB2312" w:cs="仿宋_GB2312"/>
          <w:sz w:val="32"/>
          <w:szCs w:val="32"/>
          <w:lang w:eastAsia="zh-CN"/>
        </w:rPr>
        <w:t>政务公开</w:t>
      </w:r>
      <w:r>
        <w:rPr>
          <w:rFonts w:hint="eastAsia" w:ascii="仿宋_GB2312" w:hAnsi="仿宋_GB2312" w:eastAsia="仿宋_GB2312" w:cs="仿宋_GB2312"/>
          <w:sz w:val="32"/>
          <w:szCs w:val="32"/>
        </w:rPr>
        <w:t>工作已形成制度健全、目录细致规范、各单位齐抓共管的良好局面。</w:t>
      </w:r>
      <w:r>
        <w:rPr>
          <w:rFonts w:hint="eastAsia" w:ascii="仿宋_GB2312" w:hAnsi="仿宋_GB2312" w:eastAsia="仿宋_GB2312" w:cs="仿宋_GB2312"/>
          <w:sz w:val="32"/>
          <w:szCs w:val="32"/>
          <w:lang w:eastAsia="zh-CN"/>
        </w:rPr>
        <w:t>全年</w:t>
      </w:r>
      <w:r>
        <w:rPr>
          <w:rFonts w:hint="eastAsia" w:ascii="仿宋_GB2312" w:hAnsi="仿宋_GB2312" w:eastAsia="仿宋_GB2312" w:cs="仿宋_GB2312"/>
          <w:sz w:val="32"/>
          <w:szCs w:val="32"/>
          <w:lang w:val="en-US" w:eastAsia="zh-CN"/>
        </w:rPr>
        <w:t>通过“中国太仓”政府门户网站</w:t>
      </w:r>
      <w:r>
        <w:rPr>
          <w:rFonts w:hint="eastAsia" w:ascii="仿宋_GB2312" w:hAnsi="仿宋_GB2312" w:eastAsia="仿宋_GB2312" w:cs="仿宋_GB2312"/>
          <w:sz w:val="32"/>
          <w:szCs w:val="32"/>
        </w:rPr>
        <w:t>发布信息</w:t>
      </w:r>
      <w:r>
        <w:rPr>
          <w:rFonts w:hint="eastAsia" w:ascii="仿宋_GB2312" w:hAnsi="仿宋_GB2312" w:eastAsia="仿宋_GB2312" w:cs="仿宋_GB2312"/>
          <w:sz w:val="32"/>
          <w:szCs w:val="32"/>
          <w:lang w:val="en-US" w:eastAsia="zh-CN"/>
        </w:rPr>
        <w:t>23570</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eastAsia="zh-CN"/>
        </w:rPr>
        <w:t>信息数量同比上升</w:t>
      </w:r>
      <w:r>
        <w:rPr>
          <w:rFonts w:hint="eastAsia" w:ascii="仿宋_GB2312" w:hAnsi="仿宋_GB2312" w:eastAsia="仿宋_GB2312" w:cs="仿宋_GB2312"/>
          <w:sz w:val="32"/>
          <w:szCs w:val="32"/>
          <w:lang w:val="en-US" w:eastAsia="zh-CN"/>
        </w:rPr>
        <w:t>392%</w:t>
      </w:r>
      <w:r>
        <w:rPr>
          <w:rFonts w:hint="eastAsia" w:ascii="仿宋_GB2312" w:hAnsi="仿宋_GB2312" w:eastAsia="仿宋_GB2312" w:cs="仿宋_GB2312"/>
          <w:sz w:val="32"/>
          <w:szCs w:val="32"/>
        </w:rPr>
        <w:t>，有效回应了社会关注，切实保障了群众的知情权、参与权和监督权。在肯定成绩的同时，我们也清醒地看到，我市</w:t>
      </w:r>
      <w:r>
        <w:rPr>
          <w:rFonts w:hint="eastAsia" w:ascii="仿宋_GB2312" w:hAnsi="仿宋_GB2312" w:eastAsia="仿宋_GB2312" w:cs="仿宋_GB2312"/>
          <w:sz w:val="32"/>
          <w:szCs w:val="32"/>
          <w:lang w:eastAsia="zh-CN"/>
        </w:rPr>
        <w:t>政务</w:t>
      </w:r>
      <w:r>
        <w:rPr>
          <w:rFonts w:hint="eastAsia" w:ascii="仿宋_GB2312" w:hAnsi="仿宋_GB2312" w:eastAsia="仿宋_GB2312" w:cs="仿宋_GB2312"/>
          <w:sz w:val="32"/>
          <w:szCs w:val="32"/>
        </w:rPr>
        <w:t>公开工作仍存在</w:t>
      </w:r>
      <w:r>
        <w:rPr>
          <w:rFonts w:hint="eastAsia" w:ascii="仿宋_GB2312" w:hAnsi="仿宋_GB2312" w:eastAsia="仿宋_GB2312" w:cs="仿宋_GB2312"/>
          <w:sz w:val="32"/>
          <w:szCs w:val="32"/>
          <w:lang w:eastAsia="zh-CN"/>
        </w:rPr>
        <w:t>一些问题：一是</w:t>
      </w:r>
      <w:r>
        <w:rPr>
          <w:rFonts w:hint="eastAsia" w:ascii="仿宋_GB2312" w:hAnsi="仿宋_GB2312" w:eastAsia="仿宋_GB2312" w:cs="仿宋_GB2312"/>
          <w:sz w:val="32"/>
          <w:szCs w:val="32"/>
        </w:rPr>
        <w:t>政务公开</w:t>
      </w:r>
      <w:r>
        <w:rPr>
          <w:rFonts w:hint="eastAsia" w:ascii="仿宋_GB2312" w:hAnsi="仿宋_GB2312" w:eastAsia="仿宋_GB2312" w:cs="仿宋_GB2312"/>
          <w:sz w:val="32"/>
          <w:szCs w:val="32"/>
          <w:lang w:eastAsia="zh-CN"/>
        </w:rPr>
        <w:t>水平</w:t>
      </w:r>
      <w:r>
        <w:rPr>
          <w:rFonts w:hint="eastAsia" w:ascii="仿宋_GB2312" w:hAnsi="仿宋_GB2312" w:eastAsia="仿宋_GB2312" w:cs="仿宋_GB2312"/>
          <w:sz w:val="32"/>
          <w:szCs w:val="32"/>
        </w:rPr>
        <w:t>不平衡，</w:t>
      </w:r>
      <w:r>
        <w:rPr>
          <w:rFonts w:hint="eastAsia" w:ascii="仿宋_GB2312" w:hAnsi="仿宋_GB2312" w:eastAsia="仿宋_GB2312" w:cs="仿宋_GB2312"/>
          <w:color w:val="000000"/>
          <w:sz w:val="32"/>
          <w:szCs w:val="32"/>
          <w:lang w:eastAsia="zh-CN"/>
        </w:rPr>
        <w:t>各镇区、各有关</w:t>
      </w:r>
      <w:r>
        <w:rPr>
          <w:rFonts w:hint="eastAsia" w:ascii="仿宋_GB2312" w:hAnsi="仿宋_GB2312" w:eastAsia="仿宋_GB2312" w:cs="仿宋_GB2312"/>
          <w:color w:val="000000"/>
          <w:sz w:val="32"/>
          <w:szCs w:val="32"/>
        </w:rPr>
        <w:t>部门之间</w:t>
      </w:r>
      <w:r>
        <w:rPr>
          <w:rFonts w:hint="eastAsia" w:ascii="仿宋_GB2312" w:hAnsi="仿宋_GB2312" w:eastAsia="仿宋_GB2312" w:cs="仿宋_GB2312"/>
          <w:color w:val="000000"/>
          <w:sz w:val="32"/>
          <w:szCs w:val="32"/>
          <w:lang w:eastAsia="zh-CN"/>
        </w:rPr>
        <w:t>政务公开水平存在差距，在政策解读、回应关切等方面存在反应不快、经验不足、方法不当等问题。</w:t>
      </w:r>
      <w:r>
        <w:rPr>
          <w:rFonts w:hint="eastAsia" w:ascii="仿宋_GB2312" w:hAnsi="仿宋_GB2312" w:eastAsia="仿宋_GB2312" w:cs="仿宋_GB2312"/>
          <w:sz w:val="32"/>
          <w:szCs w:val="32"/>
          <w:lang w:eastAsia="zh-CN"/>
        </w:rPr>
        <w:t>二是</w:t>
      </w:r>
      <w:r>
        <w:rPr>
          <w:rFonts w:hint="eastAsia" w:ascii="仿宋_GB2312" w:hAnsi="仿宋_GB2312" w:eastAsia="仿宋_GB2312" w:cs="仿宋_GB2312"/>
          <w:color w:val="000000"/>
          <w:sz w:val="32"/>
          <w:szCs w:val="32"/>
          <w:lang w:eastAsia="zh-CN"/>
        </w:rPr>
        <w:t>载体建设还需要进一步完善，“中国太仓”政府门户网站技术平台存在功能实现不完整、操作提示不智能、创新开发空间小等问题。</w:t>
      </w:r>
      <w:r>
        <w:rPr>
          <w:rFonts w:hint="eastAsia" w:ascii="仿宋_GB2312" w:hAnsi="仿宋_GB2312" w:eastAsia="仿宋_GB2312" w:cs="仿宋_GB2312"/>
          <w:sz w:val="32"/>
          <w:szCs w:val="32"/>
          <w:lang w:eastAsia="zh-CN"/>
        </w:rPr>
        <w:t>三是</w:t>
      </w:r>
      <w:r>
        <w:rPr>
          <w:rFonts w:hint="eastAsia" w:ascii="仿宋_GB2312" w:hAnsi="仿宋_GB2312" w:eastAsia="仿宋_GB2312" w:cs="仿宋_GB2312"/>
          <w:color w:val="000000"/>
          <w:sz w:val="32"/>
          <w:szCs w:val="32"/>
          <w:lang w:eastAsia="zh-CN"/>
        </w:rPr>
        <w:t>制度机制建设还需要加强，近年来，中央、省、苏州市不断对政务公开工作提出更高要求，政务公开发展方向和实现方式也在发生着变化，部分制度机制需要不断调整以适应务公开工作新常态。</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七、201</w:t>
      </w: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lang w:eastAsia="zh-CN"/>
        </w:rPr>
        <w:t>年工作打算</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（一）推进重点领域信息公开。</w:t>
      </w:r>
      <w:r>
        <w:rPr>
          <w:rFonts w:hint="eastAsia" w:ascii="仿宋_GB2312" w:hAnsi="仿宋_GB2312" w:eastAsia="仿宋_GB2312" w:cs="仿宋_GB2312"/>
          <w:sz w:val="32"/>
          <w:szCs w:val="32"/>
          <w:lang w:val="en-US" w:eastAsia="zh-CN"/>
        </w:rPr>
        <w:t>继续做好安全生产、就业、财政审计、科技管理和项目经费、价格和收费、信用等领域的信息公开工作，进一步扩大公开范围，细化公开内容。一是要强化责任意识，通过举办座谈会、培训班、问题分析会，提高相关单位的重视程度和具体工作人员的操作水平，增强政府信息公开工作的主动性。二是要优化栏目设置，对由机构合并、职能转变的相关单位，要尽快调整其公开目录；对内容重复、概念模糊的栏目，要尽快合并、撤销；对职能交叉、涉及面广的栏目，要明确责任主体，确保栏目时效。三是要完善监督体系，探索“主体自查、上级督查、社会监督、第三方检测”的立体监督模式，切实保障公民获取政府信息的知情权、参与权和监督权。</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（二）完善信息公开载体建设。</w:t>
      </w:r>
      <w:r>
        <w:rPr>
          <w:rFonts w:hint="eastAsia" w:ascii="仿宋_GB2312" w:hAnsi="仿宋_GB2312" w:eastAsia="仿宋_GB2312" w:cs="仿宋_GB2312"/>
          <w:sz w:val="32"/>
          <w:szCs w:val="32"/>
          <w:lang w:eastAsia="zh-CN"/>
        </w:rPr>
        <w:t>根据新形势下对政府门户网站提出的新要求，全力做好</w:t>
      </w:r>
      <w:r>
        <w:rPr>
          <w:rFonts w:hint="eastAsia" w:ascii="仿宋_GB2312" w:hAnsi="仿宋_GB2312" w:eastAsia="仿宋_GB2312" w:cs="仿宋_GB2312"/>
          <w:sz w:val="32"/>
          <w:szCs w:val="32"/>
          <w:lang w:val="en-US" w:eastAsia="zh-CN"/>
        </w:rPr>
        <w:t>2017年“中国·太仓”改版工作，进一步提升我市政务公开载体建设水平。积极发挥各类信息公开平台和渠道的作用，统筹运用新闻发言人、政府网站、政府公报、政务微博微信发布信息，充分发挥广播电视、报刊、新闻网站、商业网站和政务服务中心的作用，扩大发布信息的受众面、提高影响力。要适应新媒体平等交流、互动传播的特点，更好地运用新技术、新手段，注重用户体验和信息需求，提高信息到达率。</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val="en-US" w:eastAsia="zh-CN"/>
        </w:rPr>
        <w:t>（三）强化依申请公开管理。</w:t>
      </w:r>
      <w:r>
        <w:rPr>
          <w:rFonts w:hint="eastAsia" w:ascii="仿宋_GB2312" w:hAnsi="仿宋_GB2312" w:eastAsia="仿宋_GB2312" w:cs="仿宋_GB2312"/>
          <w:sz w:val="32"/>
          <w:szCs w:val="32"/>
          <w:lang w:val="en-US" w:eastAsia="zh-CN"/>
        </w:rPr>
        <w:t>继续建立健全政府信息公开申请、登记、办理、审核、归档等环节的制度规范。及时梳理我市信息公开申请情况，按照申请内容、答复情况等进行分类管理，认真总结依申请公开工作案例。加强对《中华人民共和国政府信息公开条例》的理论学习，积极组织和参与各类培训，全面提升全市各有关部门依申请公开责任人的业务水平。</w:t>
      </w:r>
    </w:p>
    <w:p>
      <w:pPr>
        <w:pStyle w:val="2"/>
        <w:keepNext w:val="0"/>
        <w:keepLines w:val="0"/>
        <w:widowControl/>
        <w:suppressLineNumbers w:val="0"/>
        <w:spacing w:line="432" w:lineRule="auto"/>
        <w:jc w:val="both"/>
        <w:rPr>
          <w:sz w:val="32"/>
          <w:szCs w:val="32"/>
        </w:rPr>
      </w:pPr>
      <w:r>
        <w:rPr>
          <w:color w:val="333333"/>
          <w:sz w:val="32"/>
          <w:szCs w:val="32"/>
          <w:bdr w:val="none" w:color="auto" w:sz="0" w:space="0"/>
        </w:rPr>
        <w:t>　　</w:t>
      </w:r>
    </w:p>
    <w:p>
      <w:pPr>
        <w:pStyle w:val="2"/>
        <w:keepNext w:val="0"/>
        <w:keepLines w:val="0"/>
        <w:widowControl/>
        <w:suppressLineNumbers w:val="0"/>
        <w:spacing w:line="432" w:lineRule="auto"/>
        <w:jc w:val="both"/>
        <w:rPr>
          <w:sz w:val="32"/>
          <w:szCs w:val="32"/>
        </w:rPr>
      </w:pPr>
      <w:r>
        <w:rPr>
          <w:color w:val="333333"/>
          <w:sz w:val="32"/>
          <w:szCs w:val="32"/>
          <w:bdr w:val="none" w:color="auto" w:sz="0" w:space="0"/>
        </w:rPr>
        <w:t> </w:t>
      </w:r>
    </w:p>
    <w:p>
      <w:pPr>
        <w:pStyle w:val="2"/>
        <w:keepNext w:val="0"/>
        <w:keepLines w:val="0"/>
        <w:widowControl/>
        <w:suppressLineNumbers w:val="0"/>
        <w:spacing w:line="432" w:lineRule="auto"/>
        <w:jc w:val="right"/>
        <w:rPr>
          <w:sz w:val="32"/>
          <w:szCs w:val="32"/>
        </w:rPr>
      </w:pPr>
      <w:r>
        <w:rPr>
          <w:color w:val="333333"/>
          <w:sz w:val="32"/>
          <w:szCs w:val="32"/>
          <w:bdr w:val="none" w:color="auto" w:sz="0" w:space="0"/>
        </w:rPr>
        <w:t>太仓市人民政府办公室</w:t>
      </w:r>
    </w:p>
    <w:p>
      <w:pPr>
        <w:pStyle w:val="2"/>
        <w:keepNext w:val="0"/>
        <w:keepLines w:val="0"/>
        <w:widowControl/>
        <w:suppressLineNumbers w:val="0"/>
        <w:spacing w:line="432" w:lineRule="auto"/>
        <w:jc w:val="right"/>
        <w:rPr>
          <w:sz w:val="32"/>
          <w:szCs w:val="32"/>
        </w:rPr>
      </w:pPr>
      <w:r>
        <w:rPr>
          <w:color w:val="333333"/>
          <w:sz w:val="32"/>
          <w:szCs w:val="32"/>
          <w:bdr w:val="none" w:color="auto" w:sz="0" w:space="0"/>
        </w:rPr>
        <w:t>　　201</w:t>
      </w:r>
      <w:r>
        <w:rPr>
          <w:rFonts w:hint="eastAsia"/>
          <w:color w:val="333333"/>
          <w:sz w:val="32"/>
          <w:szCs w:val="32"/>
          <w:bdr w:val="none" w:color="auto" w:sz="0" w:space="0"/>
          <w:lang w:val="en-US" w:eastAsia="zh-CN"/>
        </w:rPr>
        <w:t>7</w:t>
      </w:r>
      <w:r>
        <w:rPr>
          <w:color w:val="333333"/>
          <w:sz w:val="32"/>
          <w:szCs w:val="32"/>
          <w:bdr w:val="none" w:color="auto" w:sz="0" w:space="0"/>
        </w:rPr>
        <w:t>年</w:t>
      </w:r>
      <w:r>
        <w:rPr>
          <w:rFonts w:hint="eastAsia"/>
          <w:color w:val="333333"/>
          <w:sz w:val="32"/>
          <w:szCs w:val="32"/>
          <w:bdr w:val="none" w:color="auto" w:sz="0" w:space="0"/>
          <w:lang w:val="en-US" w:eastAsia="zh-CN"/>
        </w:rPr>
        <w:t>2</w:t>
      </w:r>
      <w:r>
        <w:rPr>
          <w:color w:val="333333"/>
          <w:sz w:val="32"/>
          <w:szCs w:val="32"/>
          <w:bdr w:val="none" w:color="auto" w:sz="0" w:space="0"/>
        </w:rPr>
        <w:t>月2</w:t>
      </w:r>
      <w:r>
        <w:rPr>
          <w:rFonts w:hint="eastAsia"/>
          <w:color w:val="333333"/>
          <w:sz w:val="32"/>
          <w:szCs w:val="32"/>
          <w:bdr w:val="none" w:color="auto" w:sz="0" w:space="0"/>
          <w:lang w:val="en-US" w:eastAsia="zh-CN"/>
        </w:rPr>
        <w:t>7</w:t>
      </w:r>
      <w:r>
        <w:rPr>
          <w:color w:val="333333"/>
          <w:sz w:val="32"/>
          <w:szCs w:val="32"/>
          <w:bdr w:val="none" w:color="auto" w:sz="0" w:space="0"/>
        </w:rPr>
        <w:t>日</w:t>
      </w: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汉鼎简大宋">
    <w:altName w:val="宋体"/>
    <w:panose1 w:val="02010609010101010101"/>
    <w:charset w:val="86"/>
    <w:family w:val="modern"/>
    <w:pitch w:val="default"/>
    <w:sig w:usb0="00000000" w:usb1="00000000" w:usb2="00000010" w:usb3="00000000" w:csb0="00040000" w:csb1="00000000"/>
  </w:font>
  <w:font w:name="汉鼎简黑体">
    <w:altName w:val="宋体"/>
    <w:panose1 w:val="02010609000101010101"/>
    <w:charset w:val="86"/>
    <w:family w:val="modern"/>
    <w:pitch w:val="default"/>
    <w:sig w:usb0="00000000" w:usb1="00000000" w:usb2="00000010" w:usb3="00000000" w:csb0="00040000"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汉鼎简仿宋">
    <w:altName w:val="仿宋"/>
    <w:panose1 w:val="02010609010101010101"/>
    <w:charset w:val="86"/>
    <w:family w:val="modern"/>
    <w:pitch w:val="default"/>
    <w:sig w:usb0="00000000" w:usb1="00000000" w:usb2="00000010" w:usb3="00000000" w:csb0="00040000" w:csb1="00000000"/>
  </w:font>
  <w:font w:name="汉鼎简楷体">
    <w:altName w:val="宋体"/>
    <w:panose1 w:val="00000000000000000000"/>
    <w:charset w:val="86"/>
    <w:family w:val="modern"/>
    <w:pitch w:val="default"/>
    <w:sig w:usb0="00000000" w:usb1="00000000" w:usb2="00000010" w:usb3="00000000" w:csb0="00040000" w:csb1="00000000"/>
  </w:font>
  <w:font w:name="Book Antiqua">
    <w:altName w:val="Segoe Print"/>
    <w:panose1 w:val="02040602050305030304"/>
    <w:charset w:val="00"/>
    <w:family w:val="roman"/>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B05F6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333333"/>
      <w:u w:val="none"/>
    </w:rPr>
  </w:style>
  <w:style w:type="character" w:styleId="5">
    <w:name w:val="Hyperlink"/>
    <w:basedOn w:val="3"/>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zht</dc:creator>
  <cp:lastModifiedBy>zht</cp:lastModifiedBy>
  <dcterms:modified xsi:type="dcterms:W3CDTF">2017-02-27T01:34:52Z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