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2F8A0B">
      <w:pPr>
        <w:pageBreakBefore w:val="0"/>
        <w:kinsoku/>
        <w:overflowPunct/>
        <w:topLinePunct w:val="0"/>
        <w:bidi w:val="0"/>
        <w:jc w:val="left"/>
        <w:rPr>
          <w:rFonts w:hint="eastAsia" w:ascii="国标黑体" w:hAnsi="国标黑体" w:eastAsia="国标黑体" w:cs="国标黑体"/>
          <w:b w:val="0"/>
          <w:bCs w:val="0"/>
          <w:spacing w:val="9"/>
          <w:sz w:val="32"/>
          <w:szCs w:val="32"/>
          <w:lang w:eastAsia="zh-CN"/>
        </w:rPr>
      </w:pPr>
      <w:r>
        <w:rPr>
          <w:rFonts w:hint="eastAsia" w:ascii="国标黑体" w:hAnsi="国标黑体" w:eastAsia="国标黑体" w:cs="国标黑体"/>
          <w:b w:val="0"/>
          <w:bCs w:val="0"/>
          <w:spacing w:val="9"/>
          <w:sz w:val="32"/>
          <w:szCs w:val="32"/>
          <w:lang w:eastAsia="zh-CN"/>
        </w:rPr>
        <w:t>附件</w:t>
      </w:r>
    </w:p>
    <w:p w14:paraId="7CBD45E4">
      <w:pPr>
        <w:pageBreakBefore w:val="0"/>
        <w:kinsoku/>
        <w:overflowPunct/>
        <w:topLinePunct w:val="0"/>
        <w:bidi w:val="0"/>
        <w:jc w:val="left"/>
        <w:rPr>
          <w:rFonts w:hint="eastAsia" w:ascii="国标黑体" w:hAnsi="国标黑体" w:eastAsia="国标黑体" w:cs="国标黑体"/>
          <w:b w:val="0"/>
          <w:bCs w:val="0"/>
          <w:spacing w:val="9"/>
          <w:sz w:val="32"/>
          <w:szCs w:val="32"/>
          <w:lang w:eastAsia="zh-CN"/>
        </w:rPr>
      </w:pPr>
    </w:p>
    <w:p w14:paraId="2459D22A">
      <w:pPr>
        <w:pageBreakBefore w:val="0"/>
        <w:kinsoku/>
        <w:overflowPunct/>
        <w:topLinePunct w:val="0"/>
        <w:bidi w:val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9"/>
          <w:sz w:val="44"/>
          <w:szCs w:val="44"/>
        </w:rPr>
        <w:t>工业固体废物资源综合利用评价情况汇总表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9"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9"/>
          <w:sz w:val="44"/>
          <w:szCs w:val="44"/>
          <w:lang w:val="en-US" w:eastAsia="zh-CN"/>
        </w:rPr>
        <w:t>2025年度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9"/>
          <w:sz w:val="44"/>
          <w:szCs w:val="44"/>
          <w:lang w:eastAsia="zh-CN"/>
        </w:rPr>
        <w:t>）</w:t>
      </w:r>
    </w:p>
    <w:p w14:paraId="7EE41631">
      <w:pPr>
        <w:pageBreakBefore w:val="0"/>
        <w:kinsoku/>
        <w:overflowPunct/>
        <w:topLinePunct w:val="0"/>
        <w:bidi w:val="0"/>
        <w:jc w:val="left"/>
        <w:rPr>
          <w:rFonts w:hint="default" w:ascii="Times New Roman" w:hAnsi="Times New Roman" w:cs="Times New Roman"/>
          <w:sz w:val="28"/>
          <w:szCs w:val="32"/>
        </w:rPr>
      </w:pPr>
    </w:p>
    <w:p w14:paraId="768D0CF8">
      <w:pPr>
        <w:pageBreakBefore w:val="0"/>
        <w:kinsoku/>
        <w:overflowPunct/>
        <w:topLinePunct w:val="0"/>
        <w:bidi w:val="0"/>
        <w:jc w:val="left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企业名称：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华能太仓发电有限责任公司</w:t>
      </w:r>
      <w:bookmarkStart w:id="0" w:name="_GoBack"/>
      <w:bookmarkEnd w:id="0"/>
    </w:p>
    <w:tbl>
      <w:tblPr>
        <w:tblStyle w:val="4"/>
        <w:tblW w:w="141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2"/>
        <w:gridCol w:w="2746"/>
        <w:gridCol w:w="2070"/>
        <w:gridCol w:w="2841"/>
        <w:gridCol w:w="2523"/>
        <w:gridCol w:w="2042"/>
      </w:tblGrid>
      <w:tr w14:paraId="423E8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tblHeader/>
          <w:jc w:val="center"/>
        </w:trPr>
        <w:tc>
          <w:tcPr>
            <w:tcW w:w="1953" w:type="dxa"/>
            <w:shd w:val="clear" w:color="auto" w:fill="auto"/>
            <w:noWrap w:val="0"/>
            <w:vAlign w:val="center"/>
          </w:tcPr>
          <w:p w14:paraId="2F30C4E4">
            <w:pPr>
              <w:pageBreakBefore w:val="0"/>
              <w:kinsoku/>
              <w:overflowPunct/>
              <w:topLinePunct w:val="0"/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/>
                <w:sz w:val="21"/>
                <w:szCs w:val="21"/>
              </w:rPr>
            </w:pPr>
            <w:r>
              <w:rPr>
                <w:rFonts w:hint="default" w:ascii="Times New Roman" w:hAnsi="Times New Roman" w:eastAsia="Arial" w:cs="Times New Roman"/>
                <w:b/>
                <w:sz w:val="21"/>
                <w:szCs w:val="21"/>
              </w:rPr>
              <w:t>产品名称</w:t>
            </w:r>
          </w:p>
        </w:tc>
        <w:tc>
          <w:tcPr>
            <w:tcW w:w="2746" w:type="dxa"/>
            <w:shd w:val="clear" w:color="auto" w:fill="auto"/>
            <w:noWrap w:val="0"/>
            <w:vAlign w:val="center"/>
          </w:tcPr>
          <w:p w14:paraId="104687A7">
            <w:pPr>
              <w:pageBreakBefore w:val="0"/>
              <w:kinsoku/>
              <w:overflowPunct/>
              <w:topLinePunct w:val="0"/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/>
                <w:sz w:val="21"/>
                <w:szCs w:val="21"/>
              </w:rPr>
            </w:pPr>
            <w:r>
              <w:rPr>
                <w:rFonts w:hint="default" w:ascii="Times New Roman" w:hAnsi="Times New Roman" w:eastAsia="Arial" w:cs="Times New Roman"/>
                <w:b/>
                <w:sz w:val="21"/>
                <w:szCs w:val="21"/>
              </w:rPr>
              <w:t>全年累计产品产量（吨）</w:t>
            </w:r>
          </w:p>
        </w:tc>
        <w:tc>
          <w:tcPr>
            <w:tcW w:w="2070" w:type="dxa"/>
            <w:shd w:val="clear" w:color="auto" w:fill="auto"/>
            <w:noWrap w:val="0"/>
            <w:vAlign w:val="center"/>
          </w:tcPr>
          <w:p w14:paraId="03FE7E8F">
            <w:pPr>
              <w:pageBreakBefore w:val="0"/>
              <w:kinsoku/>
              <w:overflowPunct/>
              <w:topLinePunct w:val="0"/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/>
                <w:sz w:val="21"/>
                <w:szCs w:val="21"/>
              </w:rPr>
            </w:pPr>
            <w:r>
              <w:rPr>
                <w:rFonts w:hint="default" w:ascii="Times New Roman" w:hAnsi="Times New Roman" w:eastAsia="Arial" w:cs="Times New Roman"/>
                <w:b/>
                <w:sz w:val="21"/>
                <w:szCs w:val="21"/>
              </w:rPr>
              <w:t>工业固体废物名称</w:t>
            </w:r>
          </w:p>
        </w:tc>
        <w:tc>
          <w:tcPr>
            <w:tcW w:w="0" w:type="auto"/>
            <w:shd w:val="clear" w:color="auto" w:fill="auto"/>
            <w:noWrap w:val="0"/>
            <w:vAlign w:val="center"/>
          </w:tcPr>
          <w:p w14:paraId="0E5605D2">
            <w:pPr>
              <w:pageBreakBefore w:val="0"/>
              <w:kinsoku/>
              <w:overflowPunct/>
              <w:topLinePunct w:val="0"/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/>
                <w:sz w:val="21"/>
                <w:szCs w:val="21"/>
              </w:rPr>
            </w:pPr>
            <w:r>
              <w:rPr>
                <w:rFonts w:hint="default" w:ascii="Times New Roman" w:hAnsi="Times New Roman" w:eastAsia="Arial" w:cs="Times New Roman"/>
                <w:b/>
                <w:sz w:val="21"/>
                <w:szCs w:val="21"/>
              </w:rPr>
              <w:t>全年累计综合利用量（吨）</w:t>
            </w:r>
          </w:p>
        </w:tc>
        <w:tc>
          <w:tcPr>
            <w:tcW w:w="2523" w:type="dxa"/>
            <w:shd w:val="clear" w:color="auto" w:fill="auto"/>
            <w:noWrap w:val="0"/>
            <w:vAlign w:val="center"/>
          </w:tcPr>
          <w:p w14:paraId="3B5B4F83">
            <w:pPr>
              <w:pageBreakBefore w:val="0"/>
              <w:kinsoku/>
              <w:overflowPunct/>
              <w:topLinePunct w:val="0"/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/>
                <w:sz w:val="21"/>
                <w:szCs w:val="21"/>
              </w:rPr>
            </w:pPr>
            <w:r>
              <w:rPr>
                <w:rFonts w:hint="default" w:ascii="Times New Roman" w:hAnsi="Times New Roman" w:eastAsia="Arial" w:cs="Times New Roman"/>
                <w:b/>
                <w:sz w:val="21"/>
                <w:szCs w:val="21"/>
              </w:rPr>
              <w:t>全年累计综合利用产值</w:t>
            </w:r>
          </w:p>
          <w:p w14:paraId="50C033DD">
            <w:pPr>
              <w:pageBreakBefore w:val="0"/>
              <w:kinsoku/>
              <w:overflowPunct/>
              <w:topLinePunct w:val="0"/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/>
                <w:sz w:val="21"/>
                <w:szCs w:val="21"/>
              </w:rPr>
            </w:pPr>
            <w:r>
              <w:rPr>
                <w:rFonts w:hint="default" w:ascii="Times New Roman" w:hAnsi="Times New Roman" w:eastAsia="Arial" w:cs="Times New Roman"/>
                <w:b/>
                <w:sz w:val="21"/>
                <w:szCs w:val="21"/>
              </w:rPr>
              <w:t>（万元）</w:t>
            </w:r>
            <w:r>
              <w:rPr>
                <w:rFonts w:hint="default" w:ascii="Times New Roman" w:hAnsi="Times New Roman" w:eastAsia="Arial" w:cs="Times New Roman"/>
                <w:b/>
                <w:sz w:val="21"/>
                <w:lang w:val="en-US" w:eastAsia="zh-CN"/>
              </w:rPr>
              <w:t>*</w:t>
            </w:r>
          </w:p>
        </w:tc>
        <w:tc>
          <w:tcPr>
            <w:tcW w:w="2042" w:type="dxa"/>
            <w:shd w:val="clear" w:color="auto" w:fill="auto"/>
            <w:noWrap w:val="0"/>
            <w:vAlign w:val="center"/>
          </w:tcPr>
          <w:p w14:paraId="40214D05">
            <w:pPr>
              <w:pageBreakBefore w:val="0"/>
              <w:kinsoku/>
              <w:overflowPunct/>
              <w:topLinePunct w:val="0"/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/>
                <w:sz w:val="21"/>
                <w:szCs w:val="21"/>
              </w:rPr>
            </w:pPr>
            <w:r>
              <w:rPr>
                <w:rFonts w:hint="default" w:ascii="Times New Roman" w:hAnsi="Times New Roman" w:eastAsia="Arial" w:cs="Times New Roman"/>
                <w:b/>
                <w:sz w:val="21"/>
                <w:szCs w:val="21"/>
              </w:rPr>
              <w:t>评价机构名称</w:t>
            </w:r>
          </w:p>
        </w:tc>
      </w:tr>
      <w:tr w14:paraId="30DC4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exact"/>
          <w:jc w:val="center"/>
        </w:trPr>
        <w:tc>
          <w:tcPr>
            <w:tcW w:w="1953" w:type="dxa"/>
            <w:shd w:val="clear" w:color="auto" w:fill="auto"/>
            <w:noWrap w:val="0"/>
            <w:vAlign w:val="center"/>
          </w:tcPr>
          <w:p w14:paraId="3BCA0B54">
            <w:pPr>
              <w:pageBreakBefore w:val="0"/>
              <w:kinsoku/>
              <w:overflowPunct/>
              <w:topLinePunct w:val="0"/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8"/>
                <w:sz w:val="21"/>
                <w:szCs w:val="21"/>
                <w:highlight w:val="none"/>
                <w:lang w:val="en-US" w:eastAsia="zh-CN"/>
              </w:rPr>
              <w:t>粉煤灰超细粉</w:t>
            </w:r>
          </w:p>
        </w:tc>
        <w:tc>
          <w:tcPr>
            <w:tcW w:w="2746" w:type="dxa"/>
            <w:shd w:val="clear" w:color="auto" w:fill="auto"/>
            <w:noWrap w:val="0"/>
            <w:vAlign w:val="center"/>
          </w:tcPr>
          <w:p w14:paraId="6ACAAEF6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bidi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372722.07</w:t>
            </w:r>
          </w:p>
        </w:tc>
        <w:tc>
          <w:tcPr>
            <w:tcW w:w="2070" w:type="dxa"/>
            <w:shd w:val="clear" w:color="auto" w:fill="auto"/>
            <w:noWrap w:val="0"/>
            <w:vAlign w:val="center"/>
          </w:tcPr>
          <w:p w14:paraId="03E0B29B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bidi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粉煤灰</w:t>
            </w:r>
          </w:p>
        </w:tc>
        <w:tc>
          <w:tcPr>
            <w:tcW w:w="0" w:type="auto"/>
            <w:shd w:val="clear" w:color="auto" w:fill="auto"/>
            <w:noWrap w:val="0"/>
            <w:vAlign w:val="center"/>
          </w:tcPr>
          <w:p w14:paraId="54F62F17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bidi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372722.07</w:t>
            </w:r>
          </w:p>
        </w:tc>
        <w:tc>
          <w:tcPr>
            <w:tcW w:w="2523" w:type="dxa"/>
            <w:shd w:val="clear" w:color="auto" w:fill="auto"/>
            <w:noWrap w:val="0"/>
            <w:vAlign w:val="center"/>
          </w:tcPr>
          <w:p w14:paraId="2B025670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bidi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57.80</w:t>
            </w:r>
          </w:p>
        </w:tc>
        <w:tc>
          <w:tcPr>
            <w:tcW w:w="2042" w:type="dxa"/>
            <w:vMerge w:val="restart"/>
            <w:shd w:val="clear" w:color="auto" w:fill="auto"/>
            <w:noWrap w:val="0"/>
            <w:vAlign w:val="center"/>
          </w:tcPr>
          <w:p w14:paraId="65B4CDB7">
            <w:pPr>
              <w:pageBreakBefore w:val="0"/>
              <w:kinsoku/>
              <w:overflowPunct/>
              <w:topLinePunct w:val="0"/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pacing w:val="4"/>
                <w:sz w:val="21"/>
                <w:szCs w:val="21"/>
                <w:lang w:val="en-US" w:eastAsia="zh-CN"/>
              </w:rPr>
              <w:t>江苏新锐环境监测</w:t>
            </w:r>
            <w:r>
              <w:rPr>
                <w:rFonts w:hint="default" w:ascii="Times New Roman" w:hAnsi="Times New Roman" w:eastAsia="仿宋_GB2312" w:cs="Times New Roman"/>
                <w:spacing w:val="8"/>
                <w:sz w:val="21"/>
                <w:szCs w:val="21"/>
              </w:rPr>
              <w:t>有限公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司</w:t>
            </w:r>
          </w:p>
        </w:tc>
      </w:tr>
      <w:tr w14:paraId="5DC91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exact"/>
          <w:jc w:val="center"/>
        </w:trPr>
        <w:tc>
          <w:tcPr>
            <w:tcW w:w="1953" w:type="dxa"/>
            <w:shd w:val="clear" w:color="auto" w:fill="auto"/>
            <w:noWrap w:val="0"/>
            <w:vAlign w:val="center"/>
          </w:tcPr>
          <w:p w14:paraId="7DB7E36C">
            <w:pPr>
              <w:pageBreakBefore w:val="0"/>
              <w:kinsoku/>
              <w:overflowPunct/>
              <w:topLinePunct w:val="0"/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8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7"/>
                <w:sz w:val="21"/>
                <w:szCs w:val="21"/>
                <w:lang w:eastAsia="zh-CN"/>
              </w:rPr>
              <w:t>建筑石膏及制品</w:t>
            </w:r>
          </w:p>
        </w:tc>
        <w:tc>
          <w:tcPr>
            <w:tcW w:w="2746" w:type="dxa"/>
            <w:shd w:val="clear" w:color="auto" w:fill="auto"/>
            <w:noWrap w:val="0"/>
            <w:vAlign w:val="center"/>
          </w:tcPr>
          <w:p w14:paraId="31641EE3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bidi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128267.73</w:t>
            </w:r>
          </w:p>
        </w:tc>
        <w:tc>
          <w:tcPr>
            <w:tcW w:w="2070" w:type="dxa"/>
            <w:shd w:val="clear" w:color="auto" w:fill="auto"/>
            <w:noWrap w:val="0"/>
            <w:vAlign w:val="center"/>
          </w:tcPr>
          <w:p w14:paraId="061F043D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bidi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石膏</w:t>
            </w:r>
          </w:p>
        </w:tc>
        <w:tc>
          <w:tcPr>
            <w:tcW w:w="0" w:type="auto"/>
            <w:shd w:val="clear" w:color="auto" w:fill="auto"/>
            <w:noWrap w:val="0"/>
            <w:vAlign w:val="center"/>
          </w:tcPr>
          <w:p w14:paraId="463C0F71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bidi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128267.73</w:t>
            </w:r>
          </w:p>
        </w:tc>
        <w:tc>
          <w:tcPr>
            <w:tcW w:w="2523" w:type="dxa"/>
            <w:shd w:val="clear" w:color="auto" w:fill="auto"/>
            <w:noWrap w:val="0"/>
            <w:vAlign w:val="center"/>
          </w:tcPr>
          <w:p w14:paraId="6200DF85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bidi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-407.56</w:t>
            </w:r>
          </w:p>
        </w:tc>
        <w:tc>
          <w:tcPr>
            <w:tcW w:w="2042" w:type="dxa"/>
            <w:vMerge w:val="continue"/>
            <w:shd w:val="clear" w:color="auto" w:fill="auto"/>
            <w:noWrap w:val="0"/>
            <w:vAlign w:val="center"/>
          </w:tcPr>
          <w:p w14:paraId="5798020B">
            <w:pPr>
              <w:pageBreakBefore w:val="0"/>
              <w:kinsoku/>
              <w:overflowPunct/>
              <w:topLinePunct w:val="0"/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 w14:paraId="0C82B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17" w:hRule="exact"/>
          <w:jc w:val="center"/>
        </w:trPr>
        <w:tc>
          <w:tcPr>
            <w:tcW w:w="1953" w:type="dxa"/>
            <w:shd w:val="clear" w:color="auto" w:fill="auto"/>
            <w:noWrap w:val="0"/>
            <w:vAlign w:val="center"/>
          </w:tcPr>
          <w:p w14:paraId="096821F5">
            <w:pPr>
              <w:pageBreakBefore w:val="0"/>
              <w:kinsoku/>
              <w:overflowPunct/>
              <w:topLinePunct w:val="0"/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8"/>
                <w:sz w:val="21"/>
                <w:szCs w:val="21"/>
                <w:highlight w:val="none"/>
              </w:rPr>
              <w:t>矿物</w:t>
            </w:r>
            <w:r>
              <w:rPr>
                <w:rFonts w:hint="default" w:ascii="Times New Roman" w:hAnsi="Times New Roman" w:eastAsia="仿宋_GB2312" w:cs="Times New Roman"/>
                <w:spacing w:val="8"/>
                <w:sz w:val="21"/>
                <w:szCs w:val="21"/>
                <w:highlight w:val="none"/>
                <w:lang w:val="en-US" w:eastAsia="zh-CN"/>
              </w:rPr>
              <w:t>掺合</w:t>
            </w:r>
            <w:r>
              <w:rPr>
                <w:rFonts w:hint="default" w:ascii="Times New Roman" w:hAnsi="Times New Roman" w:eastAsia="仿宋_GB2312" w:cs="Times New Roman"/>
                <w:spacing w:val="8"/>
                <w:sz w:val="21"/>
                <w:szCs w:val="21"/>
                <w:highlight w:val="none"/>
              </w:rPr>
              <w:t>料</w:t>
            </w:r>
          </w:p>
        </w:tc>
        <w:tc>
          <w:tcPr>
            <w:tcW w:w="2746" w:type="dxa"/>
            <w:shd w:val="clear" w:color="auto" w:fill="auto"/>
            <w:noWrap w:val="0"/>
            <w:vAlign w:val="center"/>
          </w:tcPr>
          <w:p w14:paraId="3A6CF32A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bidi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80890.18</w:t>
            </w:r>
          </w:p>
        </w:tc>
        <w:tc>
          <w:tcPr>
            <w:tcW w:w="2070" w:type="dxa"/>
            <w:shd w:val="clear" w:color="auto" w:fill="auto"/>
            <w:noWrap w:val="0"/>
            <w:vAlign w:val="center"/>
          </w:tcPr>
          <w:p w14:paraId="29A2E76D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bidi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炉渣</w:t>
            </w:r>
          </w:p>
        </w:tc>
        <w:tc>
          <w:tcPr>
            <w:tcW w:w="0" w:type="auto"/>
            <w:shd w:val="clear" w:color="auto" w:fill="auto"/>
            <w:noWrap w:val="0"/>
            <w:vAlign w:val="center"/>
          </w:tcPr>
          <w:p w14:paraId="41715AAD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bidi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80890.18</w:t>
            </w:r>
          </w:p>
        </w:tc>
        <w:tc>
          <w:tcPr>
            <w:tcW w:w="2523" w:type="dxa"/>
            <w:shd w:val="clear" w:color="auto" w:fill="auto"/>
            <w:noWrap w:val="0"/>
            <w:vAlign w:val="center"/>
          </w:tcPr>
          <w:p w14:paraId="39E8C75A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bidi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-141.71</w:t>
            </w:r>
          </w:p>
        </w:tc>
        <w:tc>
          <w:tcPr>
            <w:tcW w:w="2042" w:type="dxa"/>
            <w:vMerge w:val="continue"/>
            <w:shd w:val="clear" w:color="auto" w:fill="auto"/>
            <w:noWrap w:val="0"/>
            <w:vAlign w:val="center"/>
          </w:tcPr>
          <w:p w14:paraId="00A620D5">
            <w:pPr>
              <w:pageBreakBefore w:val="0"/>
              <w:kinsoku/>
              <w:overflowPunct/>
              <w:topLinePunct w:val="0"/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 w14:paraId="6C7AB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exact"/>
          <w:jc w:val="center"/>
        </w:trPr>
        <w:tc>
          <w:tcPr>
            <w:tcW w:w="2746" w:type="dxa"/>
            <w:gridSpan w:val="2"/>
            <w:vMerge w:val="restart"/>
            <w:shd w:val="clear" w:color="auto" w:fill="auto"/>
            <w:noWrap w:val="0"/>
            <w:vAlign w:val="center"/>
          </w:tcPr>
          <w:p w14:paraId="1C4BBC46">
            <w:pPr>
              <w:pageBreakBefore w:val="0"/>
              <w:kinsoku/>
              <w:overflowPunct/>
              <w:topLinePunct w:val="0"/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工业固体废物综合利用合计</w:t>
            </w:r>
          </w:p>
        </w:tc>
        <w:tc>
          <w:tcPr>
            <w:tcW w:w="2070" w:type="dxa"/>
            <w:shd w:val="clear" w:color="auto" w:fill="auto"/>
            <w:noWrap w:val="0"/>
            <w:vAlign w:val="center"/>
          </w:tcPr>
          <w:p w14:paraId="2DCBB266">
            <w:pPr>
              <w:pageBreakBefore w:val="0"/>
              <w:kinsoku/>
              <w:overflowPunct/>
              <w:topLinePunct w:val="0"/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pacing w:val="8"/>
                <w:sz w:val="21"/>
                <w:szCs w:val="21"/>
              </w:rPr>
              <w:t>粉</w:t>
            </w:r>
            <w:r>
              <w:rPr>
                <w:rFonts w:hint="default" w:ascii="Times New Roman" w:hAnsi="Times New Roman" w:eastAsia="仿宋_GB2312" w:cs="Times New Roman"/>
                <w:spacing w:val="5"/>
                <w:sz w:val="21"/>
                <w:szCs w:val="21"/>
              </w:rPr>
              <w:t>煤灰</w:t>
            </w:r>
          </w:p>
        </w:tc>
        <w:tc>
          <w:tcPr>
            <w:tcW w:w="0" w:type="auto"/>
            <w:shd w:val="clear" w:color="auto" w:fill="auto"/>
            <w:noWrap w:val="0"/>
            <w:vAlign w:val="center"/>
          </w:tcPr>
          <w:p w14:paraId="717D5CC5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bidi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372722.07</w:t>
            </w:r>
          </w:p>
        </w:tc>
        <w:tc>
          <w:tcPr>
            <w:tcW w:w="2523" w:type="dxa"/>
            <w:vMerge w:val="restart"/>
            <w:shd w:val="clear" w:color="auto" w:fill="auto"/>
            <w:noWrap w:val="0"/>
            <w:vAlign w:val="center"/>
          </w:tcPr>
          <w:p w14:paraId="689FE6A8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bidi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-491.47</w:t>
            </w:r>
          </w:p>
        </w:tc>
        <w:tc>
          <w:tcPr>
            <w:tcW w:w="2042" w:type="dxa"/>
            <w:vMerge w:val="restart"/>
            <w:shd w:val="clear" w:color="auto" w:fill="auto"/>
            <w:noWrap w:val="0"/>
            <w:vAlign w:val="center"/>
          </w:tcPr>
          <w:p w14:paraId="0C27EFDA">
            <w:pPr>
              <w:pageBreakBefore w:val="0"/>
              <w:kinsoku/>
              <w:overflowPunct/>
              <w:topLinePunct w:val="0"/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4"/>
                <w:sz w:val="21"/>
                <w:szCs w:val="21"/>
                <w:lang w:val="en-US" w:eastAsia="zh-CN"/>
              </w:rPr>
              <w:t>江苏新锐环境监测</w:t>
            </w:r>
            <w:r>
              <w:rPr>
                <w:rFonts w:hint="default" w:ascii="Times New Roman" w:hAnsi="Times New Roman" w:eastAsia="仿宋_GB2312" w:cs="Times New Roman"/>
                <w:spacing w:val="8"/>
                <w:sz w:val="21"/>
                <w:szCs w:val="21"/>
              </w:rPr>
              <w:t>有限公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司</w:t>
            </w:r>
          </w:p>
        </w:tc>
      </w:tr>
      <w:tr w14:paraId="1CA4F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exact"/>
          <w:jc w:val="center"/>
        </w:trPr>
        <w:tc>
          <w:tcPr>
            <w:tcW w:w="2746" w:type="dxa"/>
            <w:gridSpan w:val="2"/>
            <w:vMerge w:val="continue"/>
            <w:shd w:val="clear" w:color="auto" w:fill="auto"/>
            <w:noWrap w:val="0"/>
            <w:vAlign w:val="center"/>
          </w:tcPr>
          <w:p w14:paraId="5A2D078F">
            <w:pPr>
              <w:pageBreakBefore w:val="0"/>
              <w:kinsoku/>
              <w:overflowPunct/>
              <w:topLinePunct w:val="0"/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2070" w:type="dxa"/>
            <w:shd w:val="clear" w:color="auto" w:fill="auto"/>
            <w:noWrap w:val="0"/>
            <w:vAlign w:val="center"/>
          </w:tcPr>
          <w:p w14:paraId="4C7AF571">
            <w:pPr>
              <w:pageBreakBefore w:val="0"/>
              <w:kinsoku/>
              <w:overflowPunct/>
              <w:topLinePunct w:val="0"/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8"/>
                <w:sz w:val="21"/>
                <w:szCs w:val="21"/>
                <w:highlight w:val="none"/>
                <w:lang w:val="en-US" w:eastAsia="zh-CN"/>
              </w:rPr>
              <w:t>石膏</w:t>
            </w:r>
          </w:p>
        </w:tc>
        <w:tc>
          <w:tcPr>
            <w:tcW w:w="0" w:type="auto"/>
            <w:shd w:val="clear" w:color="auto" w:fill="auto"/>
            <w:noWrap w:val="0"/>
            <w:vAlign w:val="center"/>
          </w:tcPr>
          <w:p w14:paraId="2BA55682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bidi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128267.73</w:t>
            </w:r>
          </w:p>
        </w:tc>
        <w:tc>
          <w:tcPr>
            <w:tcW w:w="2523" w:type="dxa"/>
            <w:vMerge w:val="continue"/>
            <w:shd w:val="clear" w:color="auto" w:fill="auto"/>
            <w:noWrap w:val="0"/>
            <w:vAlign w:val="center"/>
          </w:tcPr>
          <w:p w14:paraId="4321428E">
            <w:pPr>
              <w:pageBreakBefore w:val="0"/>
              <w:kinsoku/>
              <w:overflowPunct/>
              <w:topLinePunct w:val="0"/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2042" w:type="dxa"/>
            <w:vMerge w:val="continue"/>
            <w:shd w:val="clear" w:color="auto" w:fill="auto"/>
            <w:noWrap w:val="0"/>
            <w:vAlign w:val="center"/>
          </w:tcPr>
          <w:p w14:paraId="69E22BDD">
            <w:pPr>
              <w:pageBreakBefore w:val="0"/>
              <w:kinsoku/>
              <w:overflowPunct/>
              <w:topLinePunct w:val="0"/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 w14:paraId="601EE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2746" w:type="dxa"/>
            <w:gridSpan w:val="2"/>
            <w:vMerge w:val="continue"/>
            <w:shd w:val="clear" w:color="auto" w:fill="auto"/>
            <w:noWrap w:val="0"/>
            <w:vAlign w:val="center"/>
          </w:tcPr>
          <w:p w14:paraId="2CBFBE71">
            <w:pPr>
              <w:pageBreakBefore w:val="0"/>
              <w:kinsoku/>
              <w:overflowPunct/>
              <w:topLinePunct w:val="0"/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2070" w:type="dxa"/>
            <w:shd w:val="clear" w:color="auto" w:fill="auto"/>
            <w:noWrap w:val="0"/>
            <w:vAlign w:val="center"/>
          </w:tcPr>
          <w:p w14:paraId="465682E6">
            <w:pPr>
              <w:pageBreakBefore w:val="0"/>
              <w:kinsoku/>
              <w:overflowPunct/>
              <w:topLinePunct w:val="0"/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8"/>
                <w:sz w:val="21"/>
                <w:szCs w:val="21"/>
                <w:highlight w:val="none"/>
                <w:lang w:val="en-US" w:eastAsia="zh-CN"/>
              </w:rPr>
              <w:t>炉渣</w:t>
            </w:r>
          </w:p>
        </w:tc>
        <w:tc>
          <w:tcPr>
            <w:tcW w:w="2841" w:type="dxa"/>
            <w:shd w:val="clear" w:color="auto" w:fill="auto"/>
            <w:noWrap w:val="0"/>
            <w:vAlign w:val="center"/>
          </w:tcPr>
          <w:p w14:paraId="6A26C0EA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bidi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80890.18</w:t>
            </w:r>
          </w:p>
        </w:tc>
        <w:tc>
          <w:tcPr>
            <w:tcW w:w="2523" w:type="dxa"/>
            <w:vMerge w:val="continue"/>
            <w:shd w:val="clear" w:color="auto" w:fill="auto"/>
            <w:noWrap w:val="0"/>
            <w:vAlign w:val="center"/>
          </w:tcPr>
          <w:p w14:paraId="2A73507A">
            <w:pPr>
              <w:pageBreakBefore w:val="0"/>
              <w:kinsoku/>
              <w:overflowPunct/>
              <w:topLinePunct w:val="0"/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2042" w:type="dxa"/>
            <w:vMerge w:val="continue"/>
            <w:shd w:val="clear" w:color="auto" w:fill="auto"/>
            <w:noWrap w:val="0"/>
            <w:vAlign w:val="center"/>
          </w:tcPr>
          <w:p w14:paraId="355086BD">
            <w:pPr>
              <w:pageBreakBefore w:val="0"/>
              <w:kinsoku/>
              <w:overflowPunct/>
              <w:topLinePunct w:val="0"/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</w:tbl>
    <w:p w14:paraId="35310824">
      <w:pPr>
        <w:jc w:val="center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E94FD8"/>
    <w:rsid w:val="38387935"/>
    <w:rsid w:val="3AE94FD8"/>
    <w:rsid w:val="72B70B9D"/>
    <w:rsid w:val="EFBFE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180</Words>
  <Characters>274</Characters>
  <Lines>0</Lines>
  <Paragraphs>0</Paragraphs>
  <TotalTime>5</TotalTime>
  <ScaleCrop>false</ScaleCrop>
  <LinksUpToDate>false</LinksUpToDate>
  <CharactersWithSpaces>283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2026-07-31T10:47:00Z</dcterms:created>
  <dc:creator>LuckY1399817132</dc:creator>
  <cp:lastModifiedBy>JQQ</cp:lastModifiedBy>
  <dcterms:modified xsi:type="dcterms:W3CDTF">2026-08-13T02:37:02Z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45E004CA4D9C4C56B8EC3D6BDAA8A9F0_11</vt:lpwstr>
  </property>
  <property fmtid="{D5CDD505-2E9C-101B-9397-08002B2CF9AE}" pid="4" name="KSOTemplateDocerSaveRecord">
    <vt:lpwstr>eyJoZGlkIjoiYjg2Yjg4NmU2ZWVjNGJiMmM5MzIxYmU2OWI5YjdhYTMiLCJ1c2VySWQiOiIyOTE2MDQzNDQifQ==</vt:lpwstr>
  </property>
</Properties>
</file>