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9"/>
      </w:pPr>
      <w:r>
        <w:rPr>
          <w:rFonts w:hint="eastAsia"/>
        </w:rPr>
        <w:t>附件1</w:t>
      </w:r>
    </w:p>
    <w:p>
      <w:pPr>
        <w:pStyle w:val="31"/>
        <w:spacing w:after="289" w:afterLines="50"/>
      </w:pPr>
      <w:r>
        <w:rPr>
          <w:rFonts w:hint="eastAsia"/>
        </w:rPr>
        <w:t>2024年度“双随机</w:t>
      </w:r>
      <w:bookmarkStart w:id="0" w:name="_GoBack"/>
      <w:bookmarkEnd w:id="0"/>
      <w:r>
        <w:rPr>
          <w:rFonts w:hint="eastAsia"/>
        </w:rPr>
        <w:t>一公开”单部门监管计划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"/>
        <w:gridCol w:w="2553"/>
        <w:gridCol w:w="1876"/>
        <w:gridCol w:w="1443"/>
        <w:gridCol w:w="1303"/>
        <w:gridCol w:w="1155"/>
        <w:gridCol w:w="1152"/>
        <w:gridCol w:w="1297"/>
        <w:gridCol w:w="15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tblHeader/>
        </w:trPr>
        <w:tc>
          <w:tcPr>
            <w:tcW w:w="237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984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计划名称</w:t>
            </w:r>
          </w:p>
        </w:tc>
        <w:tc>
          <w:tcPr>
            <w:tcW w:w="723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检查事项</w:t>
            </w:r>
          </w:p>
        </w:tc>
        <w:tc>
          <w:tcPr>
            <w:tcW w:w="556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检查对象</w:t>
            </w:r>
          </w:p>
        </w:tc>
        <w:tc>
          <w:tcPr>
            <w:tcW w:w="502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检查方式</w:t>
            </w:r>
          </w:p>
        </w:tc>
        <w:tc>
          <w:tcPr>
            <w:tcW w:w="445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抽取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比例</w:t>
            </w:r>
          </w:p>
        </w:tc>
        <w:tc>
          <w:tcPr>
            <w:tcW w:w="444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检查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频次</w:t>
            </w:r>
          </w:p>
        </w:tc>
        <w:tc>
          <w:tcPr>
            <w:tcW w:w="500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开展方式</w:t>
            </w:r>
          </w:p>
        </w:tc>
        <w:tc>
          <w:tcPr>
            <w:tcW w:w="608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责任单位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37" w:type="pct"/>
            <w:vAlign w:val="center"/>
          </w:tcPr>
          <w:p>
            <w:pPr>
              <w:pStyle w:val="21"/>
              <w:numPr>
                <w:ilvl w:val="0"/>
                <w:numId w:val="2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984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2024年度太仓市渔业船舶双随机监管计划</w:t>
            </w:r>
          </w:p>
        </w:tc>
        <w:tc>
          <w:tcPr>
            <w:tcW w:w="723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渔业船舶登记情况行政检查</w:t>
            </w:r>
          </w:p>
        </w:tc>
        <w:tc>
          <w:tcPr>
            <w:tcW w:w="556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渔业船舶</w:t>
            </w:r>
          </w:p>
        </w:tc>
        <w:tc>
          <w:tcPr>
            <w:tcW w:w="502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网络检查</w:t>
            </w:r>
          </w:p>
        </w:tc>
        <w:tc>
          <w:tcPr>
            <w:tcW w:w="445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444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1次/年</w:t>
            </w:r>
          </w:p>
        </w:tc>
        <w:tc>
          <w:tcPr>
            <w:tcW w:w="500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自主实施</w:t>
            </w:r>
          </w:p>
        </w:tc>
        <w:tc>
          <w:tcPr>
            <w:tcW w:w="608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农业综合执法大队</w:t>
            </w:r>
          </w:p>
        </w:tc>
      </w:tr>
    </w:tbl>
    <w:p>
      <w:pPr>
        <w:pStyle w:val="21"/>
        <w:ind w:firstLine="632"/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br w:type="page"/>
      </w:r>
    </w:p>
    <w:p>
      <w:pPr>
        <w:pStyle w:val="29"/>
      </w:pPr>
      <w:r>
        <w:rPr>
          <w:rFonts w:hint="eastAsia"/>
        </w:rPr>
        <w:t>附件2</w:t>
      </w:r>
    </w:p>
    <w:p>
      <w:pPr>
        <w:pStyle w:val="31"/>
        <w:spacing w:after="289" w:afterLines="50"/>
      </w:pPr>
      <w:r>
        <w:rPr>
          <w:rFonts w:hint="eastAsia"/>
        </w:rPr>
        <w:t>2024年度“双随机一公开”跨部门监管计划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944"/>
        <w:gridCol w:w="989"/>
        <w:gridCol w:w="989"/>
        <w:gridCol w:w="989"/>
        <w:gridCol w:w="989"/>
        <w:gridCol w:w="989"/>
        <w:gridCol w:w="799"/>
        <w:gridCol w:w="1178"/>
        <w:gridCol w:w="989"/>
        <w:gridCol w:w="24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tblHeader/>
        </w:trPr>
        <w:tc>
          <w:tcPr>
            <w:tcW w:w="260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749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计划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检查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领域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发起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部门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参与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部门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检查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对象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检查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方式</w:t>
            </w:r>
          </w:p>
        </w:tc>
        <w:tc>
          <w:tcPr>
            <w:tcW w:w="308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检查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454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检查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频次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开展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方式</w:t>
            </w:r>
          </w:p>
        </w:tc>
        <w:tc>
          <w:tcPr>
            <w:tcW w:w="94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责任单位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0" w:type="pct"/>
            <w:vAlign w:val="center"/>
          </w:tcPr>
          <w:p>
            <w:pPr>
              <w:pStyle w:val="21"/>
              <w:numPr>
                <w:ilvl w:val="0"/>
                <w:numId w:val="3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49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2024年度太仓市农资综合监管任务（肥料经营）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肥料经营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农业农村部门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市场监管部门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肥料经营单位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现场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检查</w:t>
            </w:r>
          </w:p>
        </w:tc>
        <w:tc>
          <w:tcPr>
            <w:tcW w:w="308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</w:p>
        </w:tc>
        <w:tc>
          <w:tcPr>
            <w:tcW w:w="454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1次/年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主动</w:t>
            </w:r>
            <w:r>
              <w:rPr>
                <w:rFonts w:ascii="宋体" w:hAnsi="宋体" w:eastAsia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sz w:val="24"/>
                <w:szCs w:val="24"/>
              </w:rPr>
              <w:t>实施</w:t>
            </w:r>
          </w:p>
        </w:tc>
        <w:tc>
          <w:tcPr>
            <w:tcW w:w="94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农业综合执法大队、</w:t>
            </w:r>
          </w:p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市场监管局知识产权科和标计科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0" w:type="pct"/>
            <w:vAlign w:val="center"/>
          </w:tcPr>
          <w:p>
            <w:pPr>
              <w:pStyle w:val="21"/>
              <w:numPr>
                <w:ilvl w:val="0"/>
                <w:numId w:val="3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49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2024年太仓市有机农产品部门联合双随机检查任务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有机农产品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市场监管部门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农业农村部门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有机认证企业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现场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检查</w:t>
            </w:r>
          </w:p>
        </w:tc>
        <w:tc>
          <w:tcPr>
            <w:tcW w:w="308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4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1次/年</w:t>
            </w:r>
          </w:p>
        </w:tc>
        <w:tc>
          <w:tcPr>
            <w:tcW w:w="38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配合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实施</w:t>
            </w:r>
          </w:p>
        </w:tc>
        <w:tc>
          <w:tcPr>
            <w:tcW w:w="941" w:type="pct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市场监管局质量科、农业综合执法大队</w:t>
            </w:r>
          </w:p>
        </w:tc>
      </w:tr>
    </w:tbl>
    <w:p>
      <w:pPr>
        <w:pStyle w:val="21"/>
        <w:ind w:firstLine="632"/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br w:type="page"/>
      </w:r>
    </w:p>
    <w:p>
      <w:pPr>
        <w:pStyle w:val="29"/>
      </w:pPr>
      <w:r>
        <w:rPr>
          <w:rFonts w:hint="eastAsia"/>
        </w:rPr>
        <w:t>附件3</w:t>
      </w:r>
    </w:p>
    <w:p>
      <w:pPr>
        <w:pStyle w:val="31"/>
        <w:spacing w:after="173" w:afterLines="30"/>
      </w:pPr>
      <w:r>
        <w:rPr>
          <w:rFonts w:hint="eastAsia"/>
        </w:rPr>
        <w:t>上级下发“双随机一公开”监管计划</w:t>
      </w:r>
    </w:p>
    <w:p>
      <w:pPr>
        <w:pStyle w:val="21"/>
        <w:spacing w:after="173" w:afterLines="30"/>
        <w:ind w:firstLine="632"/>
        <w:jc w:val="center"/>
      </w:pPr>
      <w:r>
        <w:rPr>
          <w:rFonts w:hint="eastAsia" w:ascii="黑体" w:hAnsi="黑体" w:eastAsia="黑体"/>
        </w:rPr>
        <w:t>单部门检查计划（苏州市6项、省级2项）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3186"/>
        <w:gridCol w:w="2835"/>
        <w:gridCol w:w="2409"/>
        <w:gridCol w:w="2127"/>
        <w:gridCol w:w="15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3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3186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任务名称</w:t>
            </w:r>
          </w:p>
        </w:tc>
        <w:tc>
          <w:tcPr>
            <w:tcW w:w="2835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检查事项</w:t>
            </w:r>
          </w:p>
        </w:tc>
        <w:tc>
          <w:tcPr>
            <w:tcW w:w="240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检查对象</w:t>
            </w:r>
          </w:p>
        </w:tc>
        <w:tc>
          <w:tcPr>
            <w:tcW w:w="212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条线责任部门</w:t>
            </w:r>
          </w:p>
        </w:tc>
        <w:tc>
          <w:tcPr>
            <w:tcW w:w="1551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开展方式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7" w:type="dxa"/>
            <w:vAlign w:val="center"/>
          </w:tcPr>
          <w:p>
            <w:pPr>
              <w:pStyle w:val="21"/>
              <w:numPr>
                <w:ilvl w:val="0"/>
                <w:numId w:val="4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186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2024年度苏州市动物及动物产品检疫合格证双随机检查任务</w:t>
            </w:r>
          </w:p>
        </w:tc>
        <w:tc>
          <w:tcPr>
            <w:tcW w:w="2835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对动物及动物产品检疫合格证的行政检查</w:t>
            </w:r>
          </w:p>
        </w:tc>
        <w:tc>
          <w:tcPr>
            <w:tcW w:w="240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动物养殖、屠宰单位</w:t>
            </w:r>
          </w:p>
        </w:tc>
        <w:tc>
          <w:tcPr>
            <w:tcW w:w="212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苏州市农业综合行政执法支队</w:t>
            </w:r>
          </w:p>
        </w:tc>
        <w:tc>
          <w:tcPr>
            <w:tcW w:w="1551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7" w:type="dxa"/>
            <w:vAlign w:val="center"/>
          </w:tcPr>
          <w:p>
            <w:pPr>
              <w:pStyle w:val="21"/>
              <w:numPr>
                <w:ilvl w:val="0"/>
                <w:numId w:val="4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186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2024年度苏州市动物防疫条件合格证双随机检查任务</w:t>
            </w:r>
          </w:p>
        </w:tc>
        <w:tc>
          <w:tcPr>
            <w:tcW w:w="2835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对动物防疫条件合格证的行政检查</w:t>
            </w:r>
          </w:p>
        </w:tc>
        <w:tc>
          <w:tcPr>
            <w:tcW w:w="240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持有动物防疫条件合格证的单位</w:t>
            </w:r>
          </w:p>
        </w:tc>
        <w:tc>
          <w:tcPr>
            <w:tcW w:w="212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苏州市农业综合行政执法支队</w:t>
            </w:r>
          </w:p>
        </w:tc>
        <w:tc>
          <w:tcPr>
            <w:tcW w:w="1551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7" w:type="dxa"/>
            <w:vAlign w:val="center"/>
          </w:tcPr>
          <w:p>
            <w:pPr>
              <w:pStyle w:val="21"/>
              <w:numPr>
                <w:ilvl w:val="0"/>
                <w:numId w:val="4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186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2024年度苏州市跨省引进乳用、种用动物双随机检查任务</w:t>
            </w:r>
          </w:p>
        </w:tc>
        <w:tc>
          <w:tcPr>
            <w:tcW w:w="2835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对跨省引进乳用、种用动物的行政检查</w:t>
            </w:r>
          </w:p>
        </w:tc>
        <w:tc>
          <w:tcPr>
            <w:tcW w:w="240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跨省引进乳用、种用动物的单位</w:t>
            </w:r>
          </w:p>
        </w:tc>
        <w:tc>
          <w:tcPr>
            <w:tcW w:w="212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苏州市农业综合行政执法支队</w:t>
            </w:r>
          </w:p>
        </w:tc>
        <w:tc>
          <w:tcPr>
            <w:tcW w:w="1551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7" w:type="dxa"/>
            <w:vAlign w:val="center"/>
          </w:tcPr>
          <w:p>
            <w:pPr>
              <w:pStyle w:val="21"/>
              <w:numPr>
                <w:ilvl w:val="0"/>
                <w:numId w:val="4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186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2024年度苏州市种畜禽（蜂种、蚕种）双随机检查任务</w:t>
            </w:r>
          </w:p>
        </w:tc>
        <w:tc>
          <w:tcPr>
            <w:tcW w:w="2835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对种畜禽（蜂种、蚕种）品种质量、生产、销售、使用相关行为的行政检查</w:t>
            </w:r>
          </w:p>
        </w:tc>
        <w:tc>
          <w:tcPr>
            <w:tcW w:w="240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企业、个体工商户、其他经营主体、自然人</w:t>
            </w:r>
          </w:p>
        </w:tc>
        <w:tc>
          <w:tcPr>
            <w:tcW w:w="212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苏州市农业综合行政执法支队</w:t>
            </w:r>
          </w:p>
        </w:tc>
        <w:tc>
          <w:tcPr>
            <w:tcW w:w="1551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7" w:type="dxa"/>
            <w:vAlign w:val="center"/>
          </w:tcPr>
          <w:p>
            <w:pPr>
              <w:pStyle w:val="21"/>
              <w:numPr>
                <w:ilvl w:val="0"/>
                <w:numId w:val="4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186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2024年度苏州市农产品质量安全双随机检查任务</w:t>
            </w:r>
          </w:p>
        </w:tc>
        <w:tc>
          <w:tcPr>
            <w:tcW w:w="2835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对农产品质量安全的行政检查</w:t>
            </w:r>
          </w:p>
        </w:tc>
        <w:tc>
          <w:tcPr>
            <w:tcW w:w="240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农产品生产企业、农民专业合作社</w:t>
            </w:r>
          </w:p>
        </w:tc>
        <w:tc>
          <w:tcPr>
            <w:tcW w:w="212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苏州市农业综合行政执法支队</w:t>
            </w:r>
          </w:p>
        </w:tc>
        <w:tc>
          <w:tcPr>
            <w:tcW w:w="1551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7" w:type="dxa"/>
            <w:vAlign w:val="center"/>
          </w:tcPr>
          <w:p>
            <w:pPr>
              <w:pStyle w:val="21"/>
              <w:numPr>
                <w:ilvl w:val="0"/>
                <w:numId w:val="4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186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2024年度苏州市调运农业植物及其产品检疫双随机检查任务</w:t>
            </w:r>
          </w:p>
        </w:tc>
        <w:tc>
          <w:tcPr>
            <w:tcW w:w="2835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对调运农业植物及其产品检疫的行政检查</w:t>
            </w:r>
          </w:p>
        </w:tc>
        <w:tc>
          <w:tcPr>
            <w:tcW w:w="240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生产经营应实施检疫农业植物和植物产品的单位</w:t>
            </w:r>
          </w:p>
        </w:tc>
        <w:tc>
          <w:tcPr>
            <w:tcW w:w="212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苏州市植物保护植物检疫站</w:t>
            </w:r>
          </w:p>
        </w:tc>
        <w:tc>
          <w:tcPr>
            <w:tcW w:w="1551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7" w:type="dxa"/>
            <w:vAlign w:val="center"/>
          </w:tcPr>
          <w:p>
            <w:pPr>
              <w:pStyle w:val="21"/>
              <w:numPr>
                <w:ilvl w:val="0"/>
                <w:numId w:val="4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186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对拖拉机和联合收割机的行政检查</w:t>
            </w:r>
          </w:p>
        </w:tc>
        <w:tc>
          <w:tcPr>
            <w:tcW w:w="2835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对拖拉机和联合收割机的行政检查</w:t>
            </w:r>
          </w:p>
        </w:tc>
        <w:tc>
          <w:tcPr>
            <w:tcW w:w="240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农机经营服务组织的拖拉机和联合收割机</w:t>
            </w:r>
          </w:p>
        </w:tc>
        <w:tc>
          <w:tcPr>
            <w:tcW w:w="212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省农业农村厅</w:t>
            </w:r>
          </w:p>
        </w:tc>
        <w:tc>
          <w:tcPr>
            <w:tcW w:w="1551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37" w:type="dxa"/>
            <w:vAlign w:val="center"/>
          </w:tcPr>
          <w:p>
            <w:pPr>
              <w:pStyle w:val="21"/>
              <w:numPr>
                <w:ilvl w:val="0"/>
                <w:numId w:val="4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186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利用水生野生动物活动检查</w:t>
            </w:r>
          </w:p>
        </w:tc>
        <w:tc>
          <w:tcPr>
            <w:tcW w:w="2835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对利用水生野生动物及其制品活动的行政检查</w:t>
            </w:r>
          </w:p>
        </w:tc>
        <w:tc>
          <w:tcPr>
            <w:tcW w:w="240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利用水生野生动物及其制品的单位</w:t>
            </w:r>
          </w:p>
        </w:tc>
        <w:tc>
          <w:tcPr>
            <w:tcW w:w="212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省农业农村厅</w:t>
            </w:r>
          </w:p>
        </w:tc>
        <w:tc>
          <w:tcPr>
            <w:tcW w:w="1551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</w:tbl>
    <w:p>
      <w:pPr>
        <w:pStyle w:val="21"/>
        <w:spacing w:after="173" w:afterLines="30"/>
        <w:ind w:firstLine="632"/>
        <w:jc w:val="center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联合检查计划（发起任务9项，参与任务1项）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3367"/>
        <w:gridCol w:w="3119"/>
        <w:gridCol w:w="1134"/>
        <w:gridCol w:w="1134"/>
        <w:gridCol w:w="1984"/>
        <w:gridCol w:w="1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9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336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任务名称</w:t>
            </w:r>
          </w:p>
        </w:tc>
        <w:tc>
          <w:tcPr>
            <w:tcW w:w="311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检查领域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发起部门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参与部门</w:t>
            </w:r>
          </w:p>
        </w:tc>
        <w:tc>
          <w:tcPr>
            <w:tcW w:w="198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条线责任部门</w:t>
            </w:r>
          </w:p>
        </w:tc>
        <w:tc>
          <w:tcPr>
            <w:tcW w:w="1410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开展方式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7" w:type="dxa"/>
            <w:vAlign w:val="center"/>
          </w:tcPr>
          <w:p>
            <w:pPr>
              <w:pStyle w:val="21"/>
              <w:numPr>
                <w:ilvl w:val="0"/>
                <w:numId w:val="5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36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2024年度苏州市农资综合（肥料生产）跨部门综合监管任务</w:t>
            </w:r>
          </w:p>
        </w:tc>
        <w:tc>
          <w:tcPr>
            <w:tcW w:w="311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对登记肥料的行政检查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农业农村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市场监督</w:t>
            </w:r>
          </w:p>
        </w:tc>
        <w:tc>
          <w:tcPr>
            <w:tcW w:w="198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苏州市农业综合行政执法支队</w:t>
            </w:r>
          </w:p>
        </w:tc>
        <w:tc>
          <w:tcPr>
            <w:tcW w:w="1410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7" w:type="dxa"/>
            <w:vAlign w:val="center"/>
          </w:tcPr>
          <w:p>
            <w:pPr>
              <w:pStyle w:val="21"/>
              <w:numPr>
                <w:ilvl w:val="0"/>
                <w:numId w:val="5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36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2024年度苏州市农资综合（农作物种子）跨部门综合监管任务</w:t>
            </w:r>
          </w:p>
        </w:tc>
        <w:tc>
          <w:tcPr>
            <w:tcW w:w="311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对农作物种子（种苗）质量、生产、销售相关行为行政检查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农业农村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市场监督</w:t>
            </w:r>
          </w:p>
        </w:tc>
        <w:tc>
          <w:tcPr>
            <w:tcW w:w="198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苏州市农业综合行政执法支队</w:t>
            </w:r>
          </w:p>
        </w:tc>
        <w:tc>
          <w:tcPr>
            <w:tcW w:w="1410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7" w:type="dxa"/>
            <w:vAlign w:val="center"/>
          </w:tcPr>
          <w:p>
            <w:pPr>
              <w:pStyle w:val="21"/>
              <w:numPr>
                <w:ilvl w:val="0"/>
                <w:numId w:val="5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36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2024年度定点屠宰企业跨部门综合监管任务</w:t>
            </w:r>
          </w:p>
        </w:tc>
        <w:tc>
          <w:tcPr>
            <w:tcW w:w="311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对生猪定点屠宰厂（场）的行政检查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农业农村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市场监督</w:t>
            </w:r>
          </w:p>
        </w:tc>
        <w:tc>
          <w:tcPr>
            <w:tcW w:w="198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苏州市农业综合行政执法支队</w:t>
            </w:r>
          </w:p>
        </w:tc>
        <w:tc>
          <w:tcPr>
            <w:tcW w:w="1410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7" w:type="dxa"/>
            <w:vAlign w:val="center"/>
          </w:tcPr>
          <w:p>
            <w:pPr>
              <w:pStyle w:val="21"/>
              <w:numPr>
                <w:ilvl w:val="0"/>
                <w:numId w:val="5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36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2024年度苏州市兽药经营部门联合双随机检查任务</w:t>
            </w:r>
          </w:p>
        </w:tc>
        <w:tc>
          <w:tcPr>
            <w:tcW w:w="311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对兽药经营活动的行政检查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农业农村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市场监督</w:t>
            </w:r>
          </w:p>
        </w:tc>
        <w:tc>
          <w:tcPr>
            <w:tcW w:w="198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苏州市农业综合行政执法支队</w:t>
            </w:r>
          </w:p>
        </w:tc>
        <w:tc>
          <w:tcPr>
            <w:tcW w:w="1410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7" w:type="dxa"/>
            <w:vAlign w:val="center"/>
          </w:tcPr>
          <w:p>
            <w:pPr>
              <w:pStyle w:val="21"/>
              <w:numPr>
                <w:ilvl w:val="0"/>
                <w:numId w:val="5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36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2024年度苏州市饲料部门联合双随机检查任务</w:t>
            </w:r>
          </w:p>
        </w:tc>
        <w:tc>
          <w:tcPr>
            <w:tcW w:w="311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对饲料、饲料添加剂生产企业、经营者的行政检查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农业农村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市场监督</w:t>
            </w:r>
          </w:p>
        </w:tc>
        <w:tc>
          <w:tcPr>
            <w:tcW w:w="198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苏州市农业综合行政执法支队</w:t>
            </w:r>
          </w:p>
        </w:tc>
        <w:tc>
          <w:tcPr>
            <w:tcW w:w="1410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7" w:type="dxa"/>
            <w:vAlign w:val="center"/>
          </w:tcPr>
          <w:p>
            <w:pPr>
              <w:pStyle w:val="21"/>
              <w:numPr>
                <w:ilvl w:val="0"/>
                <w:numId w:val="5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36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2024年度苏州市水产苗种生产部门联合双随机检查任务</w:t>
            </w:r>
          </w:p>
        </w:tc>
        <w:tc>
          <w:tcPr>
            <w:tcW w:w="311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对水产苗种生产许可证的行政检查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农业农村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市场监督</w:t>
            </w:r>
          </w:p>
        </w:tc>
        <w:tc>
          <w:tcPr>
            <w:tcW w:w="198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苏州市农业综合行政执法支队</w:t>
            </w:r>
          </w:p>
        </w:tc>
        <w:tc>
          <w:tcPr>
            <w:tcW w:w="1410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7" w:type="dxa"/>
            <w:vAlign w:val="center"/>
          </w:tcPr>
          <w:p>
            <w:pPr>
              <w:pStyle w:val="21"/>
              <w:numPr>
                <w:ilvl w:val="0"/>
                <w:numId w:val="5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36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2024年度苏州市生鲜乳部门双随机检查任务</w:t>
            </w:r>
          </w:p>
        </w:tc>
        <w:tc>
          <w:tcPr>
            <w:tcW w:w="311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对生鲜乳生产、收购环节的行政检查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农业农村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市场监督</w:t>
            </w:r>
          </w:p>
        </w:tc>
        <w:tc>
          <w:tcPr>
            <w:tcW w:w="198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苏州市农业综合行政执法支队</w:t>
            </w:r>
          </w:p>
        </w:tc>
        <w:tc>
          <w:tcPr>
            <w:tcW w:w="1410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7" w:type="dxa"/>
            <w:vAlign w:val="center"/>
          </w:tcPr>
          <w:p>
            <w:pPr>
              <w:pStyle w:val="21"/>
              <w:numPr>
                <w:ilvl w:val="0"/>
                <w:numId w:val="5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36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2024年度苏州市动物诊疗部门联合双随机检查</w:t>
            </w:r>
          </w:p>
        </w:tc>
        <w:tc>
          <w:tcPr>
            <w:tcW w:w="311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对动物诊疗机构的行政检查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农业农村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市场监督</w:t>
            </w:r>
          </w:p>
        </w:tc>
        <w:tc>
          <w:tcPr>
            <w:tcW w:w="198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苏州市农业综合行政执法支队</w:t>
            </w:r>
          </w:p>
        </w:tc>
        <w:tc>
          <w:tcPr>
            <w:tcW w:w="1410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7" w:type="dxa"/>
            <w:vAlign w:val="center"/>
          </w:tcPr>
          <w:p>
            <w:pPr>
              <w:pStyle w:val="21"/>
              <w:numPr>
                <w:ilvl w:val="0"/>
                <w:numId w:val="5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36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2024年度苏州市农药经营部门联合双随机检查</w:t>
            </w:r>
          </w:p>
        </w:tc>
        <w:tc>
          <w:tcPr>
            <w:tcW w:w="311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对农业经营主体及农药产品质量的行政检查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农业农村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市场监督</w:t>
            </w:r>
          </w:p>
        </w:tc>
        <w:tc>
          <w:tcPr>
            <w:tcW w:w="198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苏州市农业综合行政执法支队</w:t>
            </w:r>
          </w:p>
        </w:tc>
        <w:tc>
          <w:tcPr>
            <w:tcW w:w="1410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97" w:type="dxa"/>
            <w:vAlign w:val="center"/>
          </w:tcPr>
          <w:p>
            <w:pPr>
              <w:pStyle w:val="21"/>
              <w:numPr>
                <w:ilvl w:val="0"/>
                <w:numId w:val="5"/>
              </w:numPr>
              <w:snapToGrid w:val="0"/>
              <w:spacing w:line="240" w:lineRule="auto"/>
              <w:ind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</w:p>
        </w:tc>
        <w:tc>
          <w:tcPr>
            <w:tcW w:w="3367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2024年度苏州市农药生产跨部门综合监管</w:t>
            </w:r>
          </w:p>
        </w:tc>
        <w:tc>
          <w:tcPr>
            <w:tcW w:w="3119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农药企业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农业农村</w:t>
            </w:r>
          </w:p>
        </w:tc>
        <w:tc>
          <w:tcPr>
            <w:tcW w:w="113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市场监督</w:t>
            </w:r>
          </w:p>
        </w:tc>
        <w:tc>
          <w:tcPr>
            <w:tcW w:w="1984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苏州市农业综合行政执法支队</w:t>
            </w:r>
          </w:p>
        </w:tc>
        <w:tc>
          <w:tcPr>
            <w:tcW w:w="1410" w:type="dxa"/>
            <w:vAlign w:val="center"/>
          </w:tcPr>
          <w:p>
            <w:pPr>
              <w:pStyle w:val="21"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按上级指派</w:t>
            </w:r>
          </w:p>
        </w:tc>
      </w:tr>
    </w:tbl>
    <w:p>
      <w:pPr>
        <w:pStyle w:val="21"/>
        <w:snapToGrid w:val="0"/>
        <w:spacing w:line="240" w:lineRule="auto"/>
        <w:ind w:firstLine="0" w:firstLineChars="0"/>
        <w:jc w:val="center"/>
        <w:rPr>
          <w:rFonts w:ascii="宋体" w:hAnsi="宋体" w:eastAsia="宋体"/>
          <w:color w:val="000000"/>
          <w:sz w:val="21"/>
          <w:szCs w:val="21"/>
        </w:rPr>
      </w:pPr>
    </w:p>
    <w:sectPr>
      <w:footerReference r:id="rId3" w:type="default"/>
      <w:pgSz w:w="16838" w:h="11906" w:orient="landscape"/>
      <w:pgMar w:top="1588" w:right="2098" w:bottom="1474" w:left="1985" w:header="851" w:footer="1418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swiss"/>
    <w:pitch w:val="default"/>
    <w:sig w:usb0="E00002FF" w:usb1="6AC7FDFB" w:usb2="00000012" w:usb3="00000000" w:csb0="4002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10516927"/>
      <w:docPartObj>
        <w:docPartGallery w:val="AutoText"/>
      </w:docPartObj>
    </w:sdtPr>
    <w:sdtContent>
      <w:p>
        <w:pPr>
          <w:pStyle w:val="30"/>
          <w:jc w:val="center"/>
        </w:pPr>
        <w:r>
          <w:rPr>
            <w:rFonts w:hint="eastAsia"/>
          </w:rPr>
          <w:t>—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6</w:t>
        </w:r>
        <w:r>
          <w:fldChar w:fldCharType="end"/>
        </w:r>
        <w:r>
          <w:rPr>
            <w:rFonts w:hint="eastAsia"/>
          </w:rPr>
          <w:t>—</w:t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0805AF"/>
    <w:multiLevelType w:val="multilevel"/>
    <w:tmpl w:val="030805AF"/>
    <w:lvl w:ilvl="0" w:tentative="0">
      <w:start w:val="1"/>
      <w:numFmt w:val="chineseCountingThousand"/>
      <w:pStyle w:val="20"/>
      <w:suff w:val="nothing"/>
      <w:lvlText w:val="%1、"/>
      <w:lvlJc w:val="left"/>
      <w:pPr>
        <w:ind w:left="0" w:firstLine="0"/>
      </w:pPr>
      <w:rPr>
        <w:rFonts w:hint="default"/>
      </w:rPr>
    </w:lvl>
    <w:lvl w:ilvl="1" w:tentative="0">
      <w:start w:val="1"/>
      <w:numFmt w:val="chineseCountingThousand"/>
      <w:pStyle w:val="40"/>
      <w:suff w:val="nothing"/>
      <w:lvlText w:val="(%2)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1"/>
      <w:suff w:val="nothing"/>
      <w:lvlText w:val="%3. 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pStyle w:val="42"/>
      <w:suff w:val="nothing"/>
      <w:lvlText w:val="(%4)"/>
      <w:lvlJc w:val="left"/>
      <w:pPr>
        <w:ind w:left="0" w:firstLine="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0" w:firstLine="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1">
    <w:nsid w:val="4C0E7DB1"/>
    <w:multiLevelType w:val="multilevel"/>
    <w:tmpl w:val="4C0E7DB1"/>
    <w:lvl w:ilvl="0" w:tentative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abstractNum w:abstractNumId="2">
    <w:nsid w:val="4EA97014"/>
    <w:multiLevelType w:val="multilevel"/>
    <w:tmpl w:val="4EA97014"/>
    <w:lvl w:ilvl="0" w:tentative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abstractNum w:abstractNumId="3">
    <w:nsid w:val="5BD2521A"/>
    <w:multiLevelType w:val="multilevel"/>
    <w:tmpl w:val="5BD2521A"/>
    <w:lvl w:ilvl="0" w:tentative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abstractNum w:abstractNumId="4">
    <w:nsid w:val="68596A3B"/>
    <w:multiLevelType w:val="multilevel"/>
    <w:tmpl w:val="68596A3B"/>
    <w:lvl w:ilvl="0" w:tentative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mirrorMargins w:val="1"/>
  <w:bordersDoNotSurroundHeader w:val="1"/>
  <w:bordersDoNotSurroundFooter w:val="1"/>
  <w:attachedTemplate r:id="rId1"/>
  <w:documentProtection w:enforcement="0"/>
  <w:defaultTabStop w:val="419"/>
  <w:drawingGridHorizontalSpacing w:val="158"/>
  <w:drawingGridVerticalSpacing w:val="579"/>
  <w:displayHorizontalDrawingGridEvery w:val="2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RiZjU0MzFjNjFlOTRmOWZkNWY3MjhiNTUxYjgzNzkifQ=="/>
  </w:docVars>
  <w:rsids>
    <w:rsidRoot w:val="0091448E"/>
    <w:rsid w:val="00005490"/>
    <w:rsid w:val="00005DF6"/>
    <w:rsid w:val="00022C3D"/>
    <w:rsid w:val="00043075"/>
    <w:rsid w:val="00053CED"/>
    <w:rsid w:val="0006094C"/>
    <w:rsid w:val="00075A8F"/>
    <w:rsid w:val="000861C9"/>
    <w:rsid w:val="000A63DF"/>
    <w:rsid w:val="000A7BE9"/>
    <w:rsid w:val="000B2585"/>
    <w:rsid w:val="000B4BD0"/>
    <w:rsid w:val="000D0DF8"/>
    <w:rsid w:val="000D3FF8"/>
    <w:rsid w:val="000D4C15"/>
    <w:rsid w:val="000E042F"/>
    <w:rsid w:val="000E06AC"/>
    <w:rsid w:val="000F3392"/>
    <w:rsid w:val="001049F6"/>
    <w:rsid w:val="001104D2"/>
    <w:rsid w:val="0013548A"/>
    <w:rsid w:val="00140B30"/>
    <w:rsid w:val="00164364"/>
    <w:rsid w:val="00184B93"/>
    <w:rsid w:val="001862E6"/>
    <w:rsid w:val="00187D91"/>
    <w:rsid w:val="001A0DC2"/>
    <w:rsid w:val="001A19A9"/>
    <w:rsid w:val="001A6A7D"/>
    <w:rsid w:val="001B1E90"/>
    <w:rsid w:val="001C697D"/>
    <w:rsid w:val="001F6E7B"/>
    <w:rsid w:val="0021222C"/>
    <w:rsid w:val="00246C3F"/>
    <w:rsid w:val="00251881"/>
    <w:rsid w:val="002536EE"/>
    <w:rsid w:val="00267D2E"/>
    <w:rsid w:val="002713E3"/>
    <w:rsid w:val="00285B59"/>
    <w:rsid w:val="002911EA"/>
    <w:rsid w:val="0029305B"/>
    <w:rsid w:val="002B43E8"/>
    <w:rsid w:val="002D0D7F"/>
    <w:rsid w:val="002D3C0D"/>
    <w:rsid w:val="00303553"/>
    <w:rsid w:val="0030618F"/>
    <w:rsid w:val="0033084E"/>
    <w:rsid w:val="00343DB7"/>
    <w:rsid w:val="00344F9C"/>
    <w:rsid w:val="00354B4B"/>
    <w:rsid w:val="00370C9F"/>
    <w:rsid w:val="00375057"/>
    <w:rsid w:val="00387AC5"/>
    <w:rsid w:val="003934E4"/>
    <w:rsid w:val="00396B05"/>
    <w:rsid w:val="003A1D93"/>
    <w:rsid w:val="003A51EB"/>
    <w:rsid w:val="003A6CFE"/>
    <w:rsid w:val="003B2727"/>
    <w:rsid w:val="003B2E1D"/>
    <w:rsid w:val="003C59CF"/>
    <w:rsid w:val="003D040E"/>
    <w:rsid w:val="003D37C0"/>
    <w:rsid w:val="003D5E9D"/>
    <w:rsid w:val="003E43EA"/>
    <w:rsid w:val="0042182C"/>
    <w:rsid w:val="00425812"/>
    <w:rsid w:val="00437A99"/>
    <w:rsid w:val="00460E40"/>
    <w:rsid w:val="00461707"/>
    <w:rsid w:val="00471F65"/>
    <w:rsid w:val="004A0818"/>
    <w:rsid w:val="004A0C8B"/>
    <w:rsid w:val="004A45AA"/>
    <w:rsid w:val="004A6228"/>
    <w:rsid w:val="004B1E83"/>
    <w:rsid w:val="004B5DB4"/>
    <w:rsid w:val="004C0564"/>
    <w:rsid w:val="004C43EF"/>
    <w:rsid w:val="004C6658"/>
    <w:rsid w:val="004D2BE6"/>
    <w:rsid w:val="004F2B65"/>
    <w:rsid w:val="005018C1"/>
    <w:rsid w:val="005130F4"/>
    <w:rsid w:val="00514BFC"/>
    <w:rsid w:val="00525FB7"/>
    <w:rsid w:val="005277D2"/>
    <w:rsid w:val="00540683"/>
    <w:rsid w:val="00544099"/>
    <w:rsid w:val="005725CE"/>
    <w:rsid w:val="00586CA2"/>
    <w:rsid w:val="00594122"/>
    <w:rsid w:val="005A627B"/>
    <w:rsid w:val="005B1B25"/>
    <w:rsid w:val="005B382E"/>
    <w:rsid w:val="005E1264"/>
    <w:rsid w:val="0061345F"/>
    <w:rsid w:val="0061726E"/>
    <w:rsid w:val="00622C85"/>
    <w:rsid w:val="00624A27"/>
    <w:rsid w:val="00627C68"/>
    <w:rsid w:val="00663AE7"/>
    <w:rsid w:val="0067283F"/>
    <w:rsid w:val="00672DF1"/>
    <w:rsid w:val="00683702"/>
    <w:rsid w:val="006A5C50"/>
    <w:rsid w:val="006C24B1"/>
    <w:rsid w:val="006C6659"/>
    <w:rsid w:val="006E28FD"/>
    <w:rsid w:val="006E40FC"/>
    <w:rsid w:val="006F7BEF"/>
    <w:rsid w:val="007006C8"/>
    <w:rsid w:val="007116AF"/>
    <w:rsid w:val="00712675"/>
    <w:rsid w:val="0071595E"/>
    <w:rsid w:val="007415A8"/>
    <w:rsid w:val="0074162B"/>
    <w:rsid w:val="007450DB"/>
    <w:rsid w:val="00746B58"/>
    <w:rsid w:val="00760610"/>
    <w:rsid w:val="00761765"/>
    <w:rsid w:val="007A4A1A"/>
    <w:rsid w:val="007A5710"/>
    <w:rsid w:val="007B19E2"/>
    <w:rsid w:val="007B2166"/>
    <w:rsid w:val="007C48C7"/>
    <w:rsid w:val="007D5072"/>
    <w:rsid w:val="007E5008"/>
    <w:rsid w:val="007E63DD"/>
    <w:rsid w:val="007E6910"/>
    <w:rsid w:val="007F4316"/>
    <w:rsid w:val="007F483A"/>
    <w:rsid w:val="008106F9"/>
    <w:rsid w:val="008242DC"/>
    <w:rsid w:val="00833C49"/>
    <w:rsid w:val="0084507C"/>
    <w:rsid w:val="008471BF"/>
    <w:rsid w:val="0085174F"/>
    <w:rsid w:val="008553DE"/>
    <w:rsid w:val="00857C3F"/>
    <w:rsid w:val="0086610C"/>
    <w:rsid w:val="0089396A"/>
    <w:rsid w:val="008A12FF"/>
    <w:rsid w:val="008A3E64"/>
    <w:rsid w:val="008D25B8"/>
    <w:rsid w:val="008D66C2"/>
    <w:rsid w:val="008F20D6"/>
    <w:rsid w:val="0091448E"/>
    <w:rsid w:val="00914948"/>
    <w:rsid w:val="009201CD"/>
    <w:rsid w:val="0099339D"/>
    <w:rsid w:val="009A1D9C"/>
    <w:rsid w:val="009B0C4D"/>
    <w:rsid w:val="009B6241"/>
    <w:rsid w:val="00A07B8F"/>
    <w:rsid w:val="00A27394"/>
    <w:rsid w:val="00A35403"/>
    <w:rsid w:val="00A57A42"/>
    <w:rsid w:val="00A6082D"/>
    <w:rsid w:val="00A63725"/>
    <w:rsid w:val="00A66B29"/>
    <w:rsid w:val="00A702E3"/>
    <w:rsid w:val="00A74D8F"/>
    <w:rsid w:val="00A80ACE"/>
    <w:rsid w:val="00A90E89"/>
    <w:rsid w:val="00AA106E"/>
    <w:rsid w:val="00AB5A08"/>
    <w:rsid w:val="00AC6DEC"/>
    <w:rsid w:val="00AC7EAC"/>
    <w:rsid w:val="00AD292A"/>
    <w:rsid w:val="00B037C2"/>
    <w:rsid w:val="00B112E9"/>
    <w:rsid w:val="00B1754C"/>
    <w:rsid w:val="00B23044"/>
    <w:rsid w:val="00B2502F"/>
    <w:rsid w:val="00B25BE6"/>
    <w:rsid w:val="00B4231C"/>
    <w:rsid w:val="00B5209A"/>
    <w:rsid w:val="00B65426"/>
    <w:rsid w:val="00B66AD7"/>
    <w:rsid w:val="00B7411A"/>
    <w:rsid w:val="00B75408"/>
    <w:rsid w:val="00B911DA"/>
    <w:rsid w:val="00B95532"/>
    <w:rsid w:val="00BC1B18"/>
    <w:rsid w:val="00BC616B"/>
    <w:rsid w:val="00BF099E"/>
    <w:rsid w:val="00C04A7C"/>
    <w:rsid w:val="00C05B01"/>
    <w:rsid w:val="00C20E8A"/>
    <w:rsid w:val="00C30C06"/>
    <w:rsid w:val="00C334DC"/>
    <w:rsid w:val="00C55C27"/>
    <w:rsid w:val="00C67FD5"/>
    <w:rsid w:val="00CB7F6D"/>
    <w:rsid w:val="00CC20F5"/>
    <w:rsid w:val="00CD7B04"/>
    <w:rsid w:val="00CE60DA"/>
    <w:rsid w:val="00CF7AA4"/>
    <w:rsid w:val="00D1612E"/>
    <w:rsid w:val="00D307BF"/>
    <w:rsid w:val="00D3304D"/>
    <w:rsid w:val="00D33F44"/>
    <w:rsid w:val="00D36795"/>
    <w:rsid w:val="00D41998"/>
    <w:rsid w:val="00D43D42"/>
    <w:rsid w:val="00D561A9"/>
    <w:rsid w:val="00D5700D"/>
    <w:rsid w:val="00D57893"/>
    <w:rsid w:val="00D733A3"/>
    <w:rsid w:val="00D74B83"/>
    <w:rsid w:val="00D83F00"/>
    <w:rsid w:val="00DB0A33"/>
    <w:rsid w:val="00DB1C6A"/>
    <w:rsid w:val="00DB7BC5"/>
    <w:rsid w:val="00DC4435"/>
    <w:rsid w:val="00DC4C62"/>
    <w:rsid w:val="00DE7D54"/>
    <w:rsid w:val="00DF0030"/>
    <w:rsid w:val="00DF082B"/>
    <w:rsid w:val="00DF11C3"/>
    <w:rsid w:val="00DF72D6"/>
    <w:rsid w:val="00E03ACC"/>
    <w:rsid w:val="00E20A97"/>
    <w:rsid w:val="00E20C9C"/>
    <w:rsid w:val="00E334FC"/>
    <w:rsid w:val="00E449DA"/>
    <w:rsid w:val="00E44ABF"/>
    <w:rsid w:val="00E44FC7"/>
    <w:rsid w:val="00E47160"/>
    <w:rsid w:val="00E60B56"/>
    <w:rsid w:val="00E7066D"/>
    <w:rsid w:val="00E829ED"/>
    <w:rsid w:val="00E86038"/>
    <w:rsid w:val="00EA6BD0"/>
    <w:rsid w:val="00EB4220"/>
    <w:rsid w:val="00ED49DC"/>
    <w:rsid w:val="00EF14C4"/>
    <w:rsid w:val="00EF7607"/>
    <w:rsid w:val="00F0380F"/>
    <w:rsid w:val="00F273E0"/>
    <w:rsid w:val="00F3779C"/>
    <w:rsid w:val="00F62342"/>
    <w:rsid w:val="00FA3F5A"/>
    <w:rsid w:val="00FD06BE"/>
    <w:rsid w:val="00FD263B"/>
    <w:rsid w:val="00FD7268"/>
    <w:rsid w:val="65E1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宋体" w:hAnsi="宋体" w:eastAsia="宋体" w:cs="宋体"/>
      <w:b/>
      <w:bCs/>
    </w:rPr>
  </w:style>
  <w:style w:type="paragraph" w:styleId="4">
    <w:name w:val="heading 3"/>
    <w:basedOn w:val="1"/>
    <w:next w:val="1"/>
    <w:link w:val="25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36"/>
    <w:unhideWhenUsed/>
    <w:qFormat/>
    <w:uiPriority w:val="99"/>
    <w:pPr>
      <w:jc w:val="left"/>
    </w:pPr>
  </w:style>
  <w:style w:type="paragraph" w:styleId="6">
    <w:name w:val="Date"/>
    <w:basedOn w:val="1"/>
    <w:next w:val="1"/>
    <w:link w:val="53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5"/>
    <w:next w:val="5"/>
    <w:link w:val="37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styleId="14">
    <w:name w:val="annotation reference"/>
    <w:basedOn w:val="12"/>
    <w:semiHidden/>
    <w:unhideWhenUsed/>
    <w:qFormat/>
    <w:uiPriority w:val="99"/>
    <w:rPr>
      <w:sz w:val="21"/>
      <w:szCs w:val="21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页眉 字符"/>
    <w:basedOn w:val="12"/>
    <w:link w:val="8"/>
    <w:qFormat/>
    <w:uiPriority w:val="99"/>
    <w:rPr>
      <w:rFonts w:eastAsia="仿宋"/>
      <w:sz w:val="18"/>
      <w:szCs w:val="18"/>
    </w:rPr>
  </w:style>
  <w:style w:type="character" w:customStyle="1" w:styleId="17">
    <w:name w:val="页脚 字符"/>
    <w:basedOn w:val="12"/>
    <w:link w:val="7"/>
    <w:qFormat/>
    <w:uiPriority w:val="99"/>
    <w:rPr>
      <w:rFonts w:eastAsia="仿宋"/>
      <w:sz w:val="18"/>
      <w:szCs w:val="18"/>
    </w:rPr>
  </w:style>
  <w:style w:type="paragraph" w:customStyle="1" w:styleId="18">
    <w:name w:val="[GW] 03 发文机关标志"/>
    <w:next w:val="19"/>
    <w:qFormat/>
    <w:uiPriority w:val="0"/>
    <w:pPr>
      <w:widowControl w:val="0"/>
      <w:spacing w:before="48" w:beforeLines="20" w:line="1560" w:lineRule="exact"/>
      <w:jc w:val="distribute"/>
    </w:pPr>
    <w:rPr>
      <w:rFonts w:ascii="方正小标宋简体" w:hAnsi="黑体" w:eastAsia="方正大标宋简体" w:cstheme="minorBidi"/>
      <w:color w:val="FF0000"/>
      <w:spacing w:val="5"/>
      <w:w w:val="58"/>
      <w:kern w:val="0"/>
      <w:position w:val="6"/>
      <w:sz w:val="144"/>
      <w:szCs w:val="144"/>
      <w:fitText w:val="8377" w:id="-1523877632"/>
      <w:lang w:val="en-US" w:eastAsia="zh-CN" w:bidi="ar-SA"/>
    </w:rPr>
  </w:style>
  <w:style w:type="paragraph" w:customStyle="1" w:styleId="19">
    <w:name w:val="[GW] 04 发文字号"/>
    <w:qFormat/>
    <w:uiPriority w:val="0"/>
    <w:pPr>
      <w:widowControl w:val="0"/>
      <w:jc w:val="center"/>
    </w:pPr>
    <w:rPr>
      <w:rFonts w:ascii="仿宋" w:hAnsi="仿宋" w:eastAsia="仿宋" w:cstheme="minorBidi"/>
      <w:kern w:val="2"/>
      <w:sz w:val="32"/>
      <w:szCs w:val="32"/>
      <w:lang w:val="en-US" w:eastAsia="zh-CN" w:bidi="ar-SA"/>
    </w:rPr>
  </w:style>
  <w:style w:type="paragraph" w:customStyle="1" w:styleId="20">
    <w:name w:val="[GW] 061 正文H1"/>
    <w:basedOn w:val="21"/>
    <w:next w:val="21"/>
    <w:qFormat/>
    <w:uiPriority w:val="0"/>
    <w:pPr>
      <w:keepNext/>
      <w:numPr>
        <w:ilvl w:val="0"/>
        <w:numId w:val="1"/>
      </w:numPr>
      <w:ind w:firstLine="632"/>
      <w:outlineLvl w:val="0"/>
    </w:pPr>
    <w:rPr>
      <w:rFonts w:eastAsia="黑体"/>
    </w:rPr>
  </w:style>
  <w:style w:type="paragraph" w:customStyle="1" w:styleId="21">
    <w:name w:val="[GW] 060 正文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" w:cstheme="minorBidi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character" w:styleId="22">
    <w:name w:val="Placeholder Text"/>
    <w:basedOn w:val="12"/>
    <w:semiHidden/>
    <w:qFormat/>
    <w:uiPriority w:val="99"/>
    <w:rPr>
      <w:color w:val="808080"/>
    </w:rPr>
  </w:style>
  <w:style w:type="paragraph" w:styleId="23">
    <w:name w:val="No Spacing"/>
    <w:qFormat/>
    <w:uiPriority w:val="1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customStyle="1" w:styleId="24">
    <w:name w:val="标题 2 字符"/>
    <w:basedOn w:val="12"/>
    <w:link w:val="3"/>
    <w:qFormat/>
    <w:uiPriority w:val="9"/>
    <w:rPr>
      <w:rFonts w:ascii="宋体" w:hAnsi="宋体" w:eastAsia="宋体" w:cs="宋体"/>
      <w:b/>
      <w:bCs/>
      <w:sz w:val="32"/>
      <w:szCs w:val="32"/>
    </w:rPr>
  </w:style>
  <w:style w:type="character" w:customStyle="1" w:styleId="25">
    <w:name w:val="标题 3 字符"/>
    <w:basedOn w:val="12"/>
    <w:link w:val="4"/>
    <w:qFormat/>
    <w:uiPriority w:val="9"/>
    <w:rPr>
      <w:rFonts w:eastAsia="仿宋"/>
      <w:b/>
      <w:bCs/>
      <w:sz w:val="32"/>
      <w:szCs w:val="32"/>
    </w:rPr>
  </w:style>
  <w:style w:type="character" w:customStyle="1" w:styleId="26">
    <w:name w:val="标题 1 字符"/>
    <w:basedOn w:val="12"/>
    <w:link w:val="2"/>
    <w:qFormat/>
    <w:uiPriority w:val="9"/>
    <w:rPr>
      <w:rFonts w:eastAsia="仿宋"/>
      <w:b/>
      <w:bCs/>
      <w:kern w:val="44"/>
      <w:sz w:val="44"/>
      <w:szCs w:val="44"/>
    </w:rPr>
  </w:style>
  <w:style w:type="paragraph" w:customStyle="1" w:styleId="27">
    <w:name w:val="[GW] 05 正文标题"/>
    <w:next w:val="21"/>
    <w:qFormat/>
    <w:uiPriority w:val="0"/>
    <w:pPr>
      <w:widowControl w:val="0"/>
      <w:spacing w:after="50" w:afterLines="50" w:line="600" w:lineRule="exact"/>
      <w:jc w:val="center"/>
    </w:pPr>
    <w:rPr>
      <w:rFonts w:ascii="仿宋" w:hAnsi="仿宋" w:eastAsia="方正小标宋简体" w:cstheme="minorBidi"/>
      <w:color w:val="000000" w:themeColor="text1"/>
      <w:kern w:val="2"/>
      <w:sz w:val="44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28">
    <w:name w:val="[GW] 06 主送机关"/>
    <w:basedOn w:val="21"/>
    <w:next w:val="21"/>
    <w:qFormat/>
    <w:uiPriority w:val="0"/>
    <w:pPr>
      <w:ind w:firstLine="0" w:firstLineChars="0"/>
      <w:jc w:val="left"/>
    </w:pPr>
  </w:style>
  <w:style w:type="paragraph" w:customStyle="1" w:styleId="29">
    <w:name w:val="[GW] 080 附件N"/>
    <w:basedOn w:val="21"/>
    <w:next w:val="21"/>
    <w:qFormat/>
    <w:uiPriority w:val="0"/>
    <w:pPr>
      <w:ind w:firstLine="0" w:firstLineChars="0"/>
      <w:jc w:val="left"/>
    </w:pPr>
    <w:rPr>
      <w:rFonts w:eastAsia="黑体"/>
    </w:rPr>
  </w:style>
  <w:style w:type="paragraph" w:customStyle="1" w:styleId="30">
    <w:name w:val="[GW] 页码单"/>
    <w:basedOn w:val="7"/>
    <w:qFormat/>
    <w:uiPriority w:val="0"/>
    <w:pPr>
      <w:ind w:right="320" w:rightChars="100"/>
      <w:jc w:val="right"/>
    </w:pPr>
    <w:rPr>
      <w:rFonts w:ascii="宋体" w:eastAsia="宋体"/>
      <w:sz w:val="28"/>
    </w:rPr>
  </w:style>
  <w:style w:type="paragraph" w:customStyle="1" w:styleId="31">
    <w:name w:val="[GW] 081 附件标题"/>
    <w:basedOn w:val="21"/>
    <w:next w:val="21"/>
    <w:qFormat/>
    <w:uiPriority w:val="0"/>
    <w:pPr>
      <w:ind w:firstLine="0" w:firstLineChars="0"/>
      <w:jc w:val="center"/>
    </w:pPr>
    <w:rPr>
      <w:rFonts w:ascii="方正小标宋简体" w:eastAsia="方正小标宋简体"/>
      <w:sz w:val="44"/>
      <w:szCs w:val="44"/>
    </w:rPr>
  </w:style>
  <w:style w:type="paragraph" w:customStyle="1" w:styleId="32">
    <w:name w:val="【gw】章节"/>
    <w:basedOn w:val="21"/>
    <w:next w:val="21"/>
    <w:qFormat/>
    <w:uiPriority w:val="0"/>
    <w:pPr>
      <w:keepNext/>
      <w:jc w:val="left"/>
    </w:pPr>
    <w:rPr>
      <w:b/>
      <w:bCs/>
    </w:rPr>
  </w:style>
  <w:style w:type="paragraph" w:customStyle="1" w:styleId="33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4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MS PGothic" w:hAnsi="MS PGothic" w:eastAsia="MS PGothic" w:cs="MS PGothic"/>
      <w:kern w:val="0"/>
      <w:sz w:val="24"/>
      <w:szCs w:val="24"/>
      <w:lang w:eastAsia="ja-JP"/>
    </w:rPr>
  </w:style>
  <w:style w:type="paragraph" w:customStyle="1" w:styleId="35">
    <w:name w:val="【GW】附件标题2"/>
    <w:next w:val="21"/>
    <w:qFormat/>
    <w:uiPriority w:val="0"/>
    <w:pPr>
      <w:widowControl w:val="0"/>
      <w:adjustRightInd w:val="0"/>
      <w:snapToGrid w:val="0"/>
      <w:spacing w:before="120" w:beforeLines="50" w:after="120" w:afterLines="50"/>
      <w:jc w:val="center"/>
    </w:pPr>
    <w:rPr>
      <w:rFonts w:ascii="方正小标宋简体" w:hAnsi="Times New Roman" w:eastAsia="方正小标宋简体" w:cstheme="minorBidi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36">
    <w:name w:val="批注文字 字符"/>
    <w:basedOn w:val="12"/>
    <w:link w:val="5"/>
    <w:qFormat/>
    <w:uiPriority w:val="99"/>
    <w:rPr>
      <w:rFonts w:eastAsia="仿宋"/>
      <w:sz w:val="32"/>
    </w:rPr>
  </w:style>
  <w:style w:type="character" w:customStyle="1" w:styleId="37">
    <w:name w:val="批注主题 字符"/>
    <w:basedOn w:val="36"/>
    <w:link w:val="9"/>
    <w:semiHidden/>
    <w:qFormat/>
    <w:uiPriority w:val="99"/>
    <w:rPr>
      <w:rFonts w:eastAsia="仿宋"/>
      <w:b/>
      <w:bCs/>
      <w:sz w:val="32"/>
    </w:rPr>
  </w:style>
  <w:style w:type="paragraph" w:customStyle="1" w:styleId="38">
    <w:name w:val="[GW] 01 份号"/>
    <w:next w:val="39"/>
    <w:qFormat/>
    <w:uiPriority w:val="0"/>
    <w:pPr>
      <w:widowControl w:val="0"/>
      <w:jc w:val="left"/>
    </w:pPr>
    <w:rPr>
      <w:rFonts w:ascii="Times New Roman" w:hAnsi="Times New Roman" w:eastAsia="仿宋" w:cstheme="minorBidi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39">
    <w:name w:val="[GW] 02 密级及紧急程度"/>
    <w:qFormat/>
    <w:uiPriority w:val="0"/>
    <w:pPr>
      <w:widowControl w:val="0"/>
      <w:jc w:val="left"/>
    </w:pPr>
    <w:rPr>
      <w:rFonts w:ascii="Times New Roman" w:hAnsi="Times New Roman" w:eastAsia="仿宋" w:cstheme="minorBidi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40">
    <w:name w:val="[GW] 062 正文H2"/>
    <w:basedOn w:val="21"/>
    <w:next w:val="21"/>
    <w:qFormat/>
    <w:uiPriority w:val="0"/>
    <w:pPr>
      <w:numPr>
        <w:ilvl w:val="1"/>
        <w:numId w:val="1"/>
      </w:numPr>
      <w:ind w:firstLine="640"/>
      <w:outlineLvl w:val="1"/>
    </w:pPr>
    <w:rPr>
      <w:rFonts w:eastAsia="楷体"/>
    </w:rPr>
  </w:style>
  <w:style w:type="paragraph" w:customStyle="1" w:styleId="41">
    <w:name w:val="[GW] 063 正文H3"/>
    <w:basedOn w:val="21"/>
    <w:next w:val="21"/>
    <w:qFormat/>
    <w:uiPriority w:val="0"/>
    <w:pPr>
      <w:numPr>
        <w:ilvl w:val="2"/>
        <w:numId w:val="1"/>
      </w:numPr>
      <w:ind w:firstLine="200"/>
      <w:outlineLvl w:val="2"/>
    </w:pPr>
  </w:style>
  <w:style w:type="paragraph" w:customStyle="1" w:styleId="42">
    <w:name w:val="[GW] 064 正文H4"/>
    <w:basedOn w:val="21"/>
    <w:next w:val="21"/>
    <w:qFormat/>
    <w:uiPriority w:val="0"/>
    <w:pPr>
      <w:numPr>
        <w:ilvl w:val="3"/>
        <w:numId w:val="1"/>
      </w:numPr>
      <w:ind w:firstLineChars="0"/>
      <w:outlineLvl w:val="3"/>
    </w:pPr>
  </w:style>
  <w:style w:type="paragraph" w:customStyle="1" w:styleId="43">
    <w:name w:val="[GW] 065 正文附件说明"/>
    <w:basedOn w:val="21"/>
    <w:next w:val="44"/>
    <w:qFormat/>
    <w:uiPriority w:val="0"/>
    <w:pPr>
      <w:kinsoku w:val="0"/>
      <w:wordWrap w:val="0"/>
      <w:autoSpaceDE w:val="0"/>
      <w:autoSpaceDN w:val="0"/>
      <w:ind w:left="1856" w:leftChars="200" w:hanging="1216" w:hangingChars="380"/>
    </w:pPr>
  </w:style>
  <w:style w:type="paragraph" w:customStyle="1" w:styleId="44">
    <w:name w:val="[GW] 066 正文附件列表"/>
    <w:qFormat/>
    <w:uiPriority w:val="0"/>
    <w:pPr>
      <w:widowControl w:val="0"/>
      <w:ind w:left="1862" w:leftChars="503" w:hanging="253" w:hangingChars="79"/>
      <w:jc w:val="both"/>
    </w:pPr>
    <w:rPr>
      <w:rFonts w:ascii="Times New Roman" w:hAnsi="Times New Roman" w:eastAsia="仿宋" w:cstheme="minorBidi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45">
    <w:name w:val="[GW]隐藏字体"/>
    <w:qFormat/>
    <w:uiPriority w:val="1"/>
    <w:rPr>
      <w:rFonts w:ascii="Times New Roman" w:hAnsi="Times New Roman" w:eastAsia="仿宋"/>
      <w:vanish/>
      <w:sz w:val="32"/>
    </w:rPr>
  </w:style>
  <w:style w:type="paragraph" w:customStyle="1" w:styleId="46">
    <w:name w:val="【GW】成文日期"/>
    <w:basedOn w:val="21"/>
    <w:qFormat/>
    <w:uiPriority w:val="0"/>
    <w:pPr>
      <w:wordWrap w:val="0"/>
      <w:ind w:right="1254" w:rightChars="397" w:firstLine="0" w:firstLineChars="0"/>
      <w:jc w:val="right"/>
    </w:pPr>
  </w:style>
  <w:style w:type="paragraph" w:customStyle="1" w:styleId="47">
    <w:name w:val="[GW] 页码双"/>
    <w:basedOn w:val="30"/>
    <w:qFormat/>
    <w:uiPriority w:val="0"/>
    <w:pPr>
      <w:ind w:left="100" w:leftChars="100" w:right="0" w:rightChars="0"/>
      <w:jc w:val="left"/>
    </w:pPr>
  </w:style>
  <w:style w:type="paragraph" w:customStyle="1" w:styleId="48">
    <w:name w:val="[GW] 版记-抄送单位"/>
    <w:basedOn w:val="21"/>
    <w:qFormat/>
    <w:uiPriority w:val="0"/>
    <w:pPr>
      <w:framePr w:hSpace="181" w:wrap="around" w:vAnchor="margin" w:hAnchor="text" w:yAlign="bottom"/>
      <w:suppressOverlap/>
      <w:ind w:left="1144" w:leftChars="100" w:right="316" w:rightChars="100" w:hanging="828" w:hangingChars="300"/>
    </w:pPr>
    <w:rPr>
      <w:sz w:val="28"/>
      <w:szCs w:val="28"/>
    </w:rPr>
  </w:style>
  <w:style w:type="paragraph" w:customStyle="1" w:styleId="49">
    <w:name w:val="[GW] 版记-印发机关日期"/>
    <w:basedOn w:val="21"/>
    <w:qFormat/>
    <w:uiPriority w:val="0"/>
    <w:pPr>
      <w:framePr w:hSpace="181" w:wrap="around" w:vAnchor="margin" w:hAnchor="text" w:yAlign="bottom"/>
      <w:suppressOverlap/>
      <w:tabs>
        <w:tab w:val="right" w:pos="8511"/>
      </w:tabs>
      <w:ind w:left="1144" w:leftChars="100" w:hanging="828" w:hangingChars="300"/>
    </w:pPr>
    <w:rPr>
      <w:sz w:val="28"/>
      <w:szCs w:val="28"/>
    </w:rPr>
  </w:style>
  <w:style w:type="paragraph" w:customStyle="1" w:styleId="50">
    <w:name w:val="[GW] 07 落款"/>
    <w:next w:val="21"/>
    <w:qFormat/>
    <w:uiPriority w:val="0"/>
    <w:pPr>
      <w:widowControl w:val="0"/>
      <w:wordWrap w:val="0"/>
      <w:spacing w:line="560" w:lineRule="exact"/>
      <w:jc w:val="right"/>
    </w:pPr>
    <w:rPr>
      <w:rFonts w:ascii="Times New Roman" w:hAnsi="Times New Roman" w:eastAsia="仿宋" w:cstheme="minorBidi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51">
    <w:name w:val="[GW] 07 发文机关及日期"/>
    <w:basedOn w:val="44"/>
    <w:qFormat/>
    <w:uiPriority w:val="0"/>
    <w:pPr>
      <w:ind w:left="1616"/>
    </w:pPr>
  </w:style>
  <w:style w:type="paragraph" w:customStyle="1" w:styleId="52">
    <w:name w:val="主题词"/>
    <w:basedOn w:val="1"/>
    <w:qFormat/>
    <w:uiPriority w:val="0"/>
    <w:pPr>
      <w:autoSpaceDE w:val="0"/>
      <w:autoSpaceDN w:val="0"/>
      <w:adjustRightInd w:val="0"/>
      <w:spacing w:line="240" w:lineRule="atLeast"/>
      <w:jc w:val="left"/>
    </w:pPr>
    <w:rPr>
      <w:rFonts w:ascii="宋体" w:hAnsi="Calibri" w:eastAsia="仿宋_GB2312" w:cs="Times New Roman"/>
      <w:b/>
      <w:kern w:val="0"/>
      <w:szCs w:val="20"/>
    </w:rPr>
  </w:style>
  <w:style w:type="character" w:customStyle="1" w:styleId="53">
    <w:name w:val="日期 字符"/>
    <w:basedOn w:val="12"/>
    <w:link w:val="6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24037;&#20316;%20&#36845;&#20195;v2\&#20844;&#29992;&#36164;&#26009;\&#27169;&#26495;\Word%20&#27169;&#26495;\&#20844;&#25991;&#26684;&#24335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E633E-2FB5-4944-ACB1-54163682E7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公文格式模板.dotx</Template>
  <Company>农业农村局</Company>
  <Pages>4</Pages>
  <Words>1824</Words>
  <Characters>1905</Characters>
  <Lines>15</Lines>
  <Paragraphs>4</Paragraphs>
  <TotalTime>10</TotalTime>
  <ScaleCrop>false</ScaleCrop>
  <LinksUpToDate>false</LinksUpToDate>
  <CharactersWithSpaces>1908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公文</cp:category>
  <dcterms:created xsi:type="dcterms:W3CDTF">2024-05-27T03:03:00Z</dcterms:created>
  <dc:creator>Young</dc:creator>
  <dc:description>v1
2023-06-07 修改正文附件样式</dc:description>
  <cp:keywords>公文</cp:keywords>
  <cp:lastModifiedBy>S.</cp:lastModifiedBy>
  <dcterms:modified xsi:type="dcterms:W3CDTF">2024-05-27T05:43:22Z</dcterms:modified>
  <dc:subject>公文</dc:subject>
  <dc:title>公文-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6FE169075D4E40838192353E3BE4FE49_12</vt:lpwstr>
  </property>
</Properties>
</file>