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99BC">
      <w:pPr>
        <w:keepNext/>
        <w:keepLines w:val="0"/>
        <w:pageBreakBefore w:val="0"/>
        <w:widowControl/>
        <w:kinsoku/>
        <w:wordWrap/>
        <w:overflowPunct/>
        <w:topLinePunct w:val="0"/>
        <w:bidi w:val="0"/>
        <w:snapToGrid w:val="0"/>
        <w:spacing w:line="270" w:lineRule="auto"/>
        <w:rPr>
          <w:rFonts w:hint="default" w:ascii="Times New Roman" w:hAnsi="Times New Roman" w:cs="Times New Roman"/>
          <w:sz w:val="21"/>
        </w:rPr>
      </w:pPr>
    </w:p>
    <w:p w14:paraId="6BE5FF1A">
      <w:pPr>
        <w:keepNext/>
        <w:keepLines w:val="0"/>
        <w:pageBreakBefore w:val="0"/>
        <w:widowControl/>
        <w:kinsoku/>
        <w:wordWrap/>
        <w:overflowPunct/>
        <w:topLinePunct w:val="0"/>
        <w:autoSpaceDE/>
        <w:autoSpaceDN/>
        <w:bidi w:val="0"/>
        <w:adjustRightInd/>
        <w:snapToGrid w:val="0"/>
        <w:spacing w:line="560" w:lineRule="exact"/>
        <w:jc w:val="left"/>
        <w:textAlignment w:val="auto"/>
        <w:rPr>
          <w:rFonts w:hint="default" w:ascii="Times New Roman" w:hAnsi="Times New Roman" w:eastAsia="仿宋_GB2312" w:cs="Times New Roman"/>
          <w:snapToGrid/>
          <w:kern w:val="2"/>
          <w:sz w:val="32"/>
          <w:szCs w:val="32"/>
          <w:lang w:val="en-US" w:eastAsia="zh-CN"/>
        </w:rPr>
      </w:pPr>
      <w:r>
        <w:rPr>
          <w:rFonts w:hint="default" w:ascii="Times New Roman" w:hAnsi="Times New Roman" w:eastAsia="仿宋_GB2312" w:cs="Times New Roman"/>
          <w:snapToGrid/>
          <w:kern w:val="2"/>
          <w:sz w:val="32"/>
          <w:szCs w:val="32"/>
          <w:lang w:val="en-US" w:eastAsia="zh-CN"/>
        </w:rPr>
        <w:t>附件1</w:t>
      </w:r>
    </w:p>
    <w:p w14:paraId="46067510">
      <w:pPr>
        <w:keepNext/>
        <w:keepLines w:val="0"/>
        <w:pageBreakBefore w:val="0"/>
        <w:widowControl/>
        <w:kinsoku/>
        <w:wordWrap/>
        <w:overflowPunct/>
        <w:topLinePunct w:val="0"/>
        <w:autoSpaceDE w:val="0"/>
        <w:autoSpaceDN w:val="0"/>
        <w:bidi w:val="0"/>
        <w:adjustRightInd w:val="0"/>
        <w:snapToGrid w:val="0"/>
        <w:spacing w:line="560" w:lineRule="exact"/>
        <w:ind w:left="0"/>
        <w:jc w:val="center"/>
        <w:textAlignment w:val="baseline"/>
        <w:outlineLvl w:val="0"/>
        <w:rPr>
          <w:rFonts w:hint="default" w:ascii="Times New Roman" w:hAnsi="Times New Roman" w:eastAsia="方正小标宋简体" w:cs="Times New Roman"/>
          <w:spacing w:val="1"/>
          <w:sz w:val="44"/>
          <w:szCs w:val="44"/>
        </w:rPr>
      </w:pPr>
    </w:p>
    <w:p w14:paraId="2CD2FE16">
      <w:pPr>
        <w:keepNext/>
        <w:keepLines w:val="0"/>
        <w:pageBreakBefore w:val="0"/>
        <w:widowControl/>
        <w:kinsoku/>
        <w:wordWrap/>
        <w:overflowPunct/>
        <w:topLinePunct w:val="0"/>
        <w:autoSpaceDE w:val="0"/>
        <w:autoSpaceDN w:val="0"/>
        <w:bidi w:val="0"/>
        <w:adjustRightInd w:val="0"/>
        <w:snapToGrid w:val="0"/>
        <w:spacing w:line="560" w:lineRule="exact"/>
        <w:ind w:left="0"/>
        <w:jc w:val="center"/>
        <w:textAlignment w:val="baseline"/>
        <w:outlineLvl w:val="0"/>
        <w:rPr>
          <w:rFonts w:hint="default" w:ascii="Times New Roman" w:hAnsi="Times New Roman" w:eastAsia="方正小标宋简体" w:cs="Times New Roman"/>
          <w:spacing w:val="1"/>
          <w:sz w:val="44"/>
          <w:szCs w:val="44"/>
        </w:rPr>
      </w:pPr>
      <w:r>
        <w:rPr>
          <w:rFonts w:hint="default" w:ascii="Times New Roman" w:hAnsi="Times New Roman" w:eastAsia="方正小标宋简体" w:cs="Times New Roman"/>
          <w:spacing w:val="1"/>
          <w:sz w:val="44"/>
          <w:szCs w:val="44"/>
        </w:rPr>
        <w:t>2025年</w:t>
      </w:r>
      <w:r>
        <w:rPr>
          <w:rFonts w:hint="default" w:ascii="Times New Roman" w:hAnsi="Times New Roman" w:eastAsia="方正小标宋简体" w:cs="Times New Roman"/>
          <w:spacing w:val="1"/>
          <w:sz w:val="44"/>
          <w:szCs w:val="44"/>
          <w:lang w:val="en-US" w:eastAsia="zh-CN"/>
        </w:rPr>
        <w:t>太仓市</w:t>
      </w:r>
      <w:r>
        <w:rPr>
          <w:rFonts w:hint="default" w:ascii="Times New Roman" w:hAnsi="Times New Roman" w:eastAsia="方正小标宋简体" w:cs="Times New Roman"/>
          <w:spacing w:val="1"/>
          <w:sz w:val="44"/>
          <w:szCs w:val="44"/>
        </w:rPr>
        <w:t>省级现代农业发展补助专项</w:t>
      </w:r>
    </w:p>
    <w:p w14:paraId="33BB8B2C">
      <w:pPr>
        <w:keepNext/>
        <w:keepLines w:val="0"/>
        <w:pageBreakBefore w:val="0"/>
        <w:widowControl/>
        <w:kinsoku/>
        <w:wordWrap/>
        <w:overflowPunct/>
        <w:topLinePunct w:val="0"/>
        <w:autoSpaceDE w:val="0"/>
        <w:autoSpaceDN w:val="0"/>
        <w:bidi w:val="0"/>
        <w:adjustRightInd w:val="0"/>
        <w:snapToGrid w:val="0"/>
        <w:spacing w:line="560" w:lineRule="exact"/>
        <w:ind w:left="0"/>
        <w:jc w:val="center"/>
        <w:textAlignment w:val="baseline"/>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1"/>
          <w:sz w:val="44"/>
          <w:szCs w:val="44"/>
        </w:rPr>
        <w:t>实施意见</w:t>
      </w:r>
    </w:p>
    <w:p w14:paraId="614C9C0F">
      <w:pPr>
        <w:keepNext/>
        <w:keepLines w:val="0"/>
        <w:pageBreakBefore w:val="0"/>
        <w:widowControl/>
        <w:kinsoku/>
        <w:wordWrap/>
        <w:overflowPunct/>
        <w:topLinePunct w:val="0"/>
        <w:bidi w:val="0"/>
        <w:snapToGrid w:val="0"/>
        <w:spacing w:line="466" w:lineRule="auto"/>
        <w:rPr>
          <w:rFonts w:hint="default" w:ascii="Times New Roman" w:hAnsi="Times New Roman" w:cs="Times New Roman"/>
          <w:sz w:val="21"/>
        </w:rPr>
      </w:pPr>
    </w:p>
    <w:p w14:paraId="5DE6C8B6">
      <w:pPr>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outlineLvl w:val="1"/>
        <w:rPr>
          <w:rFonts w:hint="default" w:ascii="Times New Roman" w:hAnsi="Times New Roman" w:eastAsia="黑体" w:cs="Times New Roman"/>
          <w:spacing w:val="0"/>
          <w:sz w:val="32"/>
          <w:szCs w:val="32"/>
        </w:rPr>
      </w:pPr>
      <w:r>
        <w:rPr>
          <w:rFonts w:hint="default" w:ascii="Times New Roman" w:hAnsi="Times New Roman" w:eastAsia="黑体" w:cs="Times New Roman"/>
          <w:spacing w:val="0"/>
          <w:position w:val="1"/>
          <w:sz w:val="32"/>
          <w:szCs w:val="32"/>
        </w:rPr>
        <w:t>一、支持粮食和重要农产品稳产保供</w:t>
      </w:r>
    </w:p>
    <w:p w14:paraId="7BBCEE82">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rPr>
      </w:pPr>
      <w:r>
        <w:rPr>
          <w:rFonts w:hint="default" w:ascii="Times New Roman" w:hAnsi="Times New Roman" w:eastAsia="楷体_GB2312" w:cs="Times New Roman"/>
          <w:b w:val="0"/>
          <w:bCs w:val="0"/>
          <w:spacing w:val="0"/>
          <w:sz w:val="32"/>
          <w:szCs w:val="32"/>
        </w:rPr>
        <w:t>（一）支持粮油大面积单产提升</w:t>
      </w:r>
    </w:p>
    <w:p w14:paraId="49D72871">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组织各类生产主体、专业化服务组织等参与建设具有一定规模的粮油高产优质片区，加强周年协同高产高效技术模式推广应用，带动提高关键技术到位率，促进大面积均衡增产，发展订单生产，推动优质优价。支持推广大豆玉米带状复合种植，优先引导种植大户、家庭农场、农民合作社等适度规模种植主体集中连片开展种植，加快技术本土化、熟化进程。</w:t>
      </w:r>
    </w:p>
    <w:p w14:paraId="1DD133F4">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（二）支持农田基础设施建设</w:t>
      </w:r>
    </w:p>
    <w:p w14:paraId="01D13E00">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进一步提升高标准农田建设质量，对城厢、浮桥一批高标准农田改造提升</w:t>
      </w:r>
      <w:r>
        <w:rPr>
          <w:rFonts w:hint="default" w:ascii="Times New Roman" w:hAnsi="Times New Roman" w:eastAsia="仿宋_GB2312" w:cs="Times New Roman"/>
          <w:color w:val="auto"/>
          <w:spacing w:val="0"/>
          <w:sz w:val="32"/>
          <w:szCs w:val="32"/>
          <w:highlight w:val="none"/>
          <w:lang w:val="en-US" w:eastAsia="zh-CN"/>
        </w:rPr>
        <w:t>项目予以支持</w:t>
      </w:r>
      <w:r>
        <w:rPr>
          <w:rFonts w:hint="default" w:ascii="Times New Roman" w:hAnsi="Times New Roman" w:eastAsia="仿宋_GB2312" w:cs="Times New Roman"/>
          <w:color w:val="auto"/>
          <w:spacing w:val="0"/>
          <w:sz w:val="32"/>
          <w:szCs w:val="32"/>
          <w:highlight w:val="none"/>
          <w:lang w:val="en-US" w:eastAsia="zh"/>
        </w:rPr>
        <w:t>。</w:t>
      </w:r>
    </w:p>
    <w:p w14:paraId="1565A1E3">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（三）支持现代设施农业发展</w:t>
      </w:r>
    </w:p>
    <w:p w14:paraId="404CCA0E">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农业生产经营主体新建设施棚室和改造提升老旧设施棚室，提升设施种植标准化、宜机化、智能化发展水平。支持畜禽养殖场（户）改造提升畜禽粪污处理、臭气减控设施设备，提升畜禽粪污资源化利用水平。对符合贴息条件的农业经营主体开展现代设施农业建设给予不超过2%的贷款贴息，具体要求另行印发。</w:t>
      </w:r>
    </w:p>
    <w:p w14:paraId="707CFDB6">
      <w:pPr>
        <w:keepNext/>
        <w:keepLines w:val="0"/>
        <w:pageBreakBefore w:val="0"/>
        <w:widowControl/>
        <w:numPr>
          <w:ilvl w:val="0"/>
          <w:numId w:val="1"/>
        </w:numPr>
        <w:kinsoku/>
        <w:wordWrap/>
        <w:overflowPunct/>
        <w:topLinePunct w:val="0"/>
        <w:autoSpaceDE w:val="0"/>
        <w:autoSpaceDN w:val="0"/>
        <w:bidi w:val="0"/>
        <w:adjustRightInd w:val="0"/>
        <w:snapToGrid w:val="0"/>
        <w:spacing w:line="560" w:lineRule="exact"/>
        <w:ind w:firstLine="640" w:firstLineChars="200"/>
        <w:textAlignment w:val="baseline"/>
        <w:outlineLvl w:val="1"/>
        <w:rPr>
          <w:rFonts w:hint="default" w:ascii="Times New Roman" w:hAnsi="Times New Roman" w:eastAsia="黑体" w:cs="Times New Roman"/>
          <w:spacing w:val="0"/>
          <w:position w:val="1"/>
          <w:sz w:val="32"/>
          <w:szCs w:val="32"/>
        </w:rPr>
      </w:pPr>
      <w:r>
        <w:rPr>
          <w:rFonts w:hint="default" w:ascii="Times New Roman" w:hAnsi="Times New Roman" w:eastAsia="黑体" w:cs="Times New Roman"/>
          <w:spacing w:val="0"/>
          <w:position w:val="1"/>
          <w:sz w:val="32"/>
          <w:szCs w:val="32"/>
        </w:rPr>
        <w:t>支持为农服务技术装备提升</w:t>
      </w:r>
    </w:p>
    <w:p w14:paraId="1D4C2C30">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（一）支持区域性农业综合服务中心建设</w:t>
      </w:r>
    </w:p>
    <w:p w14:paraId="5D512E2B">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以县域为单位、以规划为引领，依托现有农技推广服务力量和农业社会化服务资源，坚持公益性和市场化相结合，因地制宜推进区域性农业综合服务中心建设，实现农技和农事服务功能合理配置，为小农户和农业生产经营主体集成式提供产前产中产后服务、农技推广应用、农情监测与应急调度、农业智能化管理等全过程全链条的综合性服务。</w:t>
      </w:r>
    </w:p>
    <w:p w14:paraId="34A77CE1">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w:t>
      </w:r>
      <w:r>
        <w:rPr>
          <w:rFonts w:hint="default" w:ascii="Times New Roman" w:hAnsi="Times New Roman" w:eastAsia="楷体_GB2312" w:cs="Times New Roman"/>
          <w:b w:val="0"/>
          <w:bCs w:val="0"/>
          <w:spacing w:val="0"/>
          <w:sz w:val="32"/>
          <w:szCs w:val="32"/>
          <w:lang w:val="en-US" w:eastAsia="zh-CN"/>
        </w:rPr>
        <w:t>二</w:t>
      </w:r>
      <w:r>
        <w:rPr>
          <w:rFonts w:hint="default" w:ascii="Times New Roman" w:hAnsi="Times New Roman" w:eastAsia="楷体_GB2312" w:cs="Times New Roman"/>
          <w:b w:val="0"/>
          <w:bCs w:val="0"/>
          <w:spacing w:val="0"/>
          <w:sz w:val="32"/>
          <w:szCs w:val="32"/>
          <w:lang w:val="en-US" w:eastAsia="en-US"/>
        </w:rPr>
        <w:t>）支持现代农机装备与技术推广</w:t>
      </w:r>
    </w:p>
    <w:p w14:paraId="3B819971">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
        </w:rPr>
        <w:t>支持从事农业生产的农民和农业生产经营组织，购置使用纳入中央和省级农机购置与应用补贴范围的机具，具体按照《2024-2026年江苏省农机购置与应用补贴实施意见》（苏农机〔2024〕19号）等要求执行。聚焦粮油单产提升、设施园艺、果茶桑、畜牧养殖、水产养殖、农产品初加工等农机装备短板弱项，瞄准本地区农作物生产，尤其是特色产业关键或薄弱环节机械化装备与技术的研究开发、试验和应用推广</w:t>
      </w:r>
      <w:r>
        <w:rPr>
          <w:rFonts w:hint="default" w:ascii="Times New Roman" w:hAnsi="Times New Roman" w:eastAsia="仿宋_GB2312" w:cs="Times New Roman"/>
          <w:color w:val="auto"/>
          <w:spacing w:val="0"/>
          <w:sz w:val="32"/>
          <w:szCs w:val="32"/>
          <w:highlight w:val="none"/>
          <w:lang w:val="en-US" w:eastAsia="zh-CN"/>
        </w:rPr>
        <w:t>。加快推广应用绿色清洁的粮食烘干装备与技术，着力推进设备节能改造与清洁能源替代，引领农业生产向绿色低碳、高质高效转型升级。</w:t>
      </w:r>
    </w:p>
    <w:p w14:paraId="5B02500A">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p>
    <w:p w14:paraId="1B31A102">
      <w:pPr>
        <w:pStyle w:val="3"/>
        <w:keepNext/>
        <w:keepLines w:val="0"/>
        <w:pageBreakBefore w:val="0"/>
        <w:widowControl/>
        <w:numPr>
          <w:ilvl w:val="0"/>
          <w:numId w:val="2"/>
        </w:numPr>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支持现代种业发展</w:t>
      </w:r>
    </w:p>
    <w:p w14:paraId="75ACF720">
      <w:pPr>
        <w:pStyle w:val="3"/>
        <w:keepNext/>
        <w:keepLines w:val="0"/>
        <w:pageBreakBefore w:val="0"/>
        <w:widowControl/>
        <w:numPr>
          <w:numId w:val="0"/>
        </w:numPr>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支持符合条件的省级农作物、农业微生物种质资源库（圃）和省级畜禽（含蚕）遗传资源保种场（保护区、基因库）等开展农业种质资源收集保护和开发利用。加强棉花等地方特色种质资源收集保护和利用开发</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
        </w:rPr>
        <w:t>支持种子市场例行</w:t>
      </w:r>
      <w:r>
        <w:rPr>
          <w:rFonts w:hint="default" w:ascii="Times New Roman" w:hAnsi="Times New Roman" w:eastAsia="仿宋_GB2312" w:cs="Times New Roman"/>
          <w:color w:val="auto"/>
          <w:spacing w:val="0"/>
          <w:sz w:val="32"/>
          <w:szCs w:val="32"/>
          <w:highlight w:val="none"/>
          <w:lang w:val="en-US" w:eastAsia="zh-CN"/>
        </w:rPr>
        <w:t>检查</w:t>
      </w:r>
      <w:r>
        <w:rPr>
          <w:rFonts w:hint="default" w:ascii="Times New Roman" w:hAnsi="Times New Roman" w:eastAsia="仿宋_GB2312" w:cs="Times New Roman"/>
          <w:color w:val="auto"/>
          <w:spacing w:val="0"/>
          <w:sz w:val="32"/>
          <w:szCs w:val="32"/>
          <w:highlight w:val="none"/>
          <w:lang w:val="en-US" w:eastAsia="zh"/>
        </w:rPr>
        <w:t>、农作物品种综合性测试、展示和种畜禽质量安全监管。</w:t>
      </w:r>
    </w:p>
    <w:p w14:paraId="3AD04A6F">
      <w:pPr>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1"/>
        <w:rPr>
          <w:rFonts w:hint="default" w:ascii="Times New Roman" w:hAnsi="Times New Roman" w:eastAsia="黑体" w:cs="Times New Roman"/>
          <w:spacing w:val="0"/>
          <w:sz w:val="32"/>
          <w:szCs w:val="32"/>
        </w:rPr>
      </w:pPr>
      <w:r>
        <w:rPr>
          <w:rFonts w:hint="default" w:ascii="Times New Roman" w:hAnsi="Times New Roman" w:eastAsia="黑体" w:cs="Times New Roman"/>
          <w:spacing w:val="0"/>
          <w:position w:val="1"/>
          <w:sz w:val="32"/>
          <w:szCs w:val="32"/>
        </w:rPr>
        <w:t>三、支持智慧农业建设</w:t>
      </w:r>
    </w:p>
    <w:p w14:paraId="728DAED1">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w:t>
      </w:r>
      <w:r>
        <w:rPr>
          <w:rFonts w:hint="default" w:ascii="Times New Roman" w:hAnsi="Times New Roman" w:eastAsia="楷体_GB2312" w:cs="Times New Roman"/>
          <w:b w:val="0"/>
          <w:bCs w:val="0"/>
          <w:spacing w:val="0"/>
          <w:sz w:val="32"/>
          <w:szCs w:val="32"/>
          <w:lang w:val="en-US" w:eastAsia="zh-CN"/>
        </w:rPr>
        <w:t>一</w:t>
      </w:r>
      <w:r>
        <w:rPr>
          <w:rFonts w:hint="default" w:ascii="Times New Roman" w:hAnsi="Times New Roman" w:eastAsia="楷体_GB2312" w:cs="Times New Roman"/>
          <w:b w:val="0"/>
          <w:bCs w:val="0"/>
          <w:spacing w:val="0"/>
          <w:sz w:val="32"/>
          <w:szCs w:val="32"/>
          <w:lang w:val="en-US" w:eastAsia="en-US"/>
        </w:rPr>
        <w:t>）支持智慧渔场建设</w:t>
      </w:r>
    </w:p>
    <w:p w14:paraId="3729FB23">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聚焦水质调控、投入品使用、病害防控、尾水处理等渔业生产关键环节，支持符合条件的单位科学配备智能化装备和信息系统，开展智慧渔场建设，提升渔业生产设施和装备智能化水平。</w:t>
      </w:r>
    </w:p>
    <w:p w14:paraId="02265EA6">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w:t>
      </w:r>
      <w:r>
        <w:rPr>
          <w:rFonts w:hint="default" w:ascii="Times New Roman" w:hAnsi="Times New Roman" w:eastAsia="楷体_GB2312" w:cs="Times New Roman"/>
          <w:b w:val="0"/>
          <w:bCs w:val="0"/>
          <w:spacing w:val="0"/>
          <w:sz w:val="32"/>
          <w:szCs w:val="32"/>
          <w:lang w:val="en-US" w:eastAsia="zh-CN"/>
        </w:rPr>
        <w:t>二</w:t>
      </w:r>
      <w:r>
        <w:rPr>
          <w:rFonts w:hint="default" w:ascii="Times New Roman" w:hAnsi="Times New Roman" w:eastAsia="楷体_GB2312" w:cs="Times New Roman"/>
          <w:b w:val="0"/>
          <w:bCs w:val="0"/>
          <w:spacing w:val="0"/>
          <w:sz w:val="32"/>
          <w:szCs w:val="32"/>
          <w:lang w:val="en-US" w:eastAsia="en-US"/>
        </w:rPr>
        <w:t>）支持智慧牧场建设</w:t>
      </w:r>
    </w:p>
    <w:p w14:paraId="79BFFBDD">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支持畜禽规模养殖场开展智慧化建设，包括智能环境监控、精准饲喂</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
        </w:rPr>
        <w:t>智能巡检、产品采集、性能测定、疫病防控等智慧化设施设备和智慧化管理系统的购置、更新、改造升级，提升全省畜牧业智慧化水平。</w:t>
      </w:r>
    </w:p>
    <w:p w14:paraId="116B77EC">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黑体" w:cs="Times New Roman"/>
          <w:spacing w:val="0"/>
          <w:sz w:val="32"/>
          <w:szCs w:val="32"/>
        </w:rPr>
      </w:pPr>
      <w:r>
        <w:rPr>
          <w:rFonts w:hint="default" w:ascii="Times New Roman" w:hAnsi="Times New Roman" w:eastAsia="黑体" w:cs="Times New Roman"/>
          <w:spacing w:val="0"/>
          <w:position w:val="1"/>
          <w:sz w:val="32"/>
          <w:szCs w:val="32"/>
        </w:rPr>
        <w:t>四、支持农业安全生产</w:t>
      </w:r>
    </w:p>
    <w:p w14:paraId="34947A82">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（一）支持农业生产应急救灾</w:t>
      </w:r>
    </w:p>
    <w:p w14:paraId="55A46A01">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支持落实农业防灾减灾救灾任务，对承担农业防灾减灾救灾任务、符合条件的受灾主体给予补助，推动灾后恢复生产。支持开展土壤墒情监测，做好干旱、涝渍的农业灾害预警预报。</w:t>
      </w:r>
    </w:p>
    <w:p w14:paraId="4DB75E6A">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（二）支持动植物病虫害防控</w:t>
      </w:r>
    </w:p>
    <w:p w14:paraId="5590D063">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开展强制扑杀、强制免疫、先打后补、养殖和屠宰环节病死猪（病害产品）无害化处理、主要动物疫病流调监测、人兽共患病防控、动物疫病净化等工作。支持省际动物卫生监督检查站稳定开展入苏动物检查消毒。支持水生动物疫病预防控制机构开展重大水生动物疫病监控、采送样和病害测报工作，做好疫病应急防控处置和规范用药指导，推进水产养殖用药减量行动，协助水生动物卫生监督机构开展水产苗种产地检疫。支持开展小麦赤霉病等农作物重大病虫应急防控，重大植物疫情处置，组织相关主体开展重大病虫疫情监测调查、病虫草抗药性和农药有效性监测、农田杂草综合治理等工作。</w:t>
      </w:r>
    </w:p>
    <w:p w14:paraId="65A2FC78">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（三）支持海洋渔船灾害天气应急避险</w:t>
      </w:r>
    </w:p>
    <w:p w14:paraId="6512DAEC">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对纳入“中国渔政指挥系统”登记管理、遵守应急避险召回制度的我省海洋渔船所有人进行海洋渔船灾害性天气应急避险奖补，引导渔民有效应对台风、寒潮、风暴潮等灾害性天气，切实维护海洋渔民生命财产安全。</w:t>
      </w:r>
    </w:p>
    <w:p w14:paraId="75E76709">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zh"/>
        </w:rPr>
      </w:pPr>
      <w:r>
        <w:rPr>
          <w:rFonts w:hint="default" w:ascii="Times New Roman" w:hAnsi="Times New Roman" w:eastAsia="楷体_GB2312" w:cs="Times New Roman"/>
          <w:b w:val="0"/>
          <w:bCs w:val="0"/>
          <w:spacing w:val="0"/>
          <w:sz w:val="32"/>
          <w:szCs w:val="32"/>
          <w:lang w:val="en-US" w:eastAsia="en-US"/>
        </w:rPr>
        <w:t>（四）支持农产品质量安全监管</w:t>
      </w:r>
    </w:p>
    <w:p w14:paraId="5CE2ED51">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涉农乡镇、规模收储主体开展“三前”环节农兽药残留速测筛查和日常监管，提高问题产品溯源能力，落实承诺达标合格证制度。支持农产品质检机构改善检验检测基础设施条件，增扩检测参数项目，提高检验检测技术支撑能力。</w:t>
      </w:r>
    </w:p>
    <w:p w14:paraId="0C4B095B">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p>
    <w:p w14:paraId="6F27C69B">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zh-CN"/>
        </w:rPr>
      </w:pPr>
      <w:r>
        <w:rPr>
          <w:rFonts w:hint="default" w:ascii="Times New Roman" w:hAnsi="Times New Roman" w:eastAsia="楷体_GB2312" w:cs="Times New Roman"/>
          <w:b w:val="0"/>
          <w:bCs w:val="0"/>
          <w:spacing w:val="0"/>
          <w:sz w:val="32"/>
          <w:szCs w:val="32"/>
          <w:lang w:val="en-US" w:eastAsia="zh-CN"/>
        </w:rPr>
        <w:t>（五）</w:t>
      </w:r>
      <w:r>
        <w:rPr>
          <w:rFonts w:hint="default" w:ascii="Times New Roman" w:hAnsi="Times New Roman" w:eastAsia="楷体_GB2312" w:cs="Times New Roman"/>
          <w:b w:val="0"/>
          <w:bCs w:val="0"/>
          <w:spacing w:val="0"/>
          <w:sz w:val="32"/>
          <w:szCs w:val="32"/>
          <w:lang w:val="en-US" w:eastAsia="en-US"/>
        </w:rPr>
        <w:t>支持农业综合执法及生产安全监管</w:t>
      </w:r>
    </w:p>
    <w:p w14:paraId="2D8E080A">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农业、农机、渔政执法机构根据工作需要配备更新必要的执法设施设备，加大执法检查力度，提升执法能力。支持依据职能范围开展农药安全监管、畜牧兽医重点领域安全生产监管和隐患排查、农村沼气设施安全处置和农村能源安全生产排查整治、农机事故应急处置演练、农机质量调查、农机质量投诉站建设。支持海洋渔船执法监管、宣传培训和应急演练等，支持禁渔执法装备建设、对开展禁渔执法任务的执法船艇进行补贴。</w:t>
      </w:r>
    </w:p>
    <w:p w14:paraId="16617935">
      <w:pPr>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outlineLvl w:val="1"/>
        <w:rPr>
          <w:rFonts w:hint="default" w:ascii="Times New Roman" w:hAnsi="Times New Roman" w:eastAsia="黑体" w:cs="Times New Roman"/>
          <w:spacing w:val="0"/>
          <w:sz w:val="32"/>
          <w:szCs w:val="32"/>
        </w:rPr>
      </w:pPr>
      <w:r>
        <w:rPr>
          <w:rFonts w:hint="default" w:ascii="Times New Roman" w:hAnsi="Times New Roman" w:eastAsia="黑体" w:cs="Times New Roman"/>
          <w:spacing w:val="0"/>
          <w:position w:val="1"/>
          <w:sz w:val="32"/>
          <w:szCs w:val="32"/>
        </w:rPr>
        <w:t>五、支持富民产业发展</w:t>
      </w:r>
    </w:p>
    <w:p w14:paraId="65A659CF">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支持新产业新业态新模式发展</w:t>
      </w:r>
    </w:p>
    <w:p w14:paraId="48379302">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聚焦优势特色产业，鼓励引导县级及以上农业龙头企业开展农产品加工转型升级，重点支持引领型、带动型农业龙头企业在精耕深耕细分领域，突出以新质生产力为引领的健康食品、功能食品、冻干食品、未来食品、功能物提取等领域，发展高附加值、深层次、全方位利用的精深加工。支持发展休闲农业，开展“苏韵乡情”休闲农业系列宣传推介，推动绿色、有机、名特优新和地理标志等优质农产品发展，加强省级及以上品牌目录农产品区域公用品牌建设，深入实施“互联网+”农产品出村进城工程。支持科技强农工作，支持农业招商、科创主体引育、科技强农成果展示等，提升</w:t>
      </w:r>
      <w:r>
        <w:rPr>
          <w:rFonts w:hint="default" w:ascii="Times New Roman" w:hAnsi="Times New Roman" w:eastAsia="仿宋_GB2312" w:cs="Times New Roman"/>
          <w:color w:val="auto"/>
          <w:spacing w:val="0"/>
          <w:sz w:val="32"/>
          <w:szCs w:val="32"/>
          <w:highlight w:val="none"/>
          <w:lang w:val="en-US" w:eastAsia="zh-CN"/>
        </w:rPr>
        <w:t>全</w:t>
      </w:r>
      <w:r>
        <w:rPr>
          <w:rFonts w:hint="default" w:ascii="Times New Roman" w:hAnsi="Times New Roman" w:eastAsia="仿宋_GB2312" w:cs="Times New Roman"/>
          <w:color w:val="auto"/>
          <w:spacing w:val="0"/>
          <w:sz w:val="32"/>
          <w:szCs w:val="32"/>
          <w:highlight w:val="none"/>
          <w:lang w:val="en-US" w:eastAsia="zh"/>
        </w:rPr>
        <w:t>市农业科技创新能力水平。</w:t>
      </w:r>
    </w:p>
    <w:p w14:paraId="578E0E69">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bookmarkStart w:id="0" w:name="_GoBack"/>
      <w:bookmarkEnd w:id="0"/>
    </w:p>
    <w:p w14:paraId="7703D570">
      <w:pPr>
        <w:keepNext/>
        <w:keepLines w:val="0"/>
        <w:pageBreakBefore w:val="0"/>
        <w:widowControl/>
        <w:kinsoku/>
        <w:wordWrap/>
        <w:overflowPunct/>
        <w:topLinePunct w:val="0"/>
        <w:autoSpaceDE w:val="0"/>
        <w:autoSpaceDN w:val="0"/>
        <w:bidi w:val="0"/>
        <w:adjustRightInd w:val="0"/>
        <w:snapToGrid w:val="0"/>
        <w:spacing w:line="560" w:lineRule="exact"/>
        <w:ind w:firstLine="620" w:firstLineChars="200"/>
        <w:textAlignment w:val="baseline"/>
        <w:outlineLvl w:val="1"/>
        <w:rPr>
          <w:rFonts w:hint="default" w:ascii="Times New Roman" w:hAnsi="Times New Roman" w:eastAsia="黑体" w:cs="Times New Roman"/>
          <w:spacing w:val="0"/>
          <w:sz w:val="31"/>
          <w:szCs w:val="31"/>
        </w:rPr>
      </w:pPr>
      <w:r>
        <w:rPr>
          <w:rFonts w:hint="default" w:ascii="Times New Roman" w:hAnsi="Times New Roman" w:eastAsia="黑体" w:cs="Times New Roman"/>
          <w:spacing w:val="0"/>
          <w:position w:val="2"/>
          <w:sz w:val="31"/>
          <w:szCs w:val="31"/>
        </w:rPr>
        <w:t>六、支持农业绿色发展</w:t>
      </w:r>
    </w:p>
    <w:p w14:paraId="5CC3AFD6">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（一）支持农作物秸秆综合利用</w:t>
      </w:r>
    </w:p>
    <w:p w14:paraId="406581F8">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各乡镇（街道）结合实际统筹实施秸秆机械化还田和离田收储利用，开展稻麦等秸秆机械化还田作业补助和离田收储按量（或按面积）补助，鼓励因地制宜有序推进生态型犁耕深翻还田。具体按照《关于印发&lt;2025年太仓市农作物秸秆综合利用工作方案&gt;的通知》（太农发〔2025〕31号）执行。</w:t>
      </w:r>
    </w:p>
    <w:p w14:paraId="64CBE2CB">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（二）支持农药化肥双减</w:t>
      </w:r>
    </w:p>
    <w:p w14:paraId="34BE0679">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各乡镇（街道）因地制宜开展化肥减量增效先行区、农药减量增效展示片建设，鼓励引导新型经营主体加强化肥减量增效新产品、新技术、新机具集成推广应用，提高肥料利用效率，集成应用农业防控、理化诱控、生物防控和科学用药技术等绿色防控技术和产品，推进化学农药减量增效。支持继续推进化肥农药实名制购买定额制使用，建设一批规范化经营门店，因地制宜探索实名制购销模式、制订定额制使用标准，推广应用肥药减量技术模式。</w:t>
      </w:r>
    </w:p>
    <w:p w14:paraId="7BF05A2F">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（三）支持农业废弃物处置利用</w:t>
      </w:r>
    </w:p>
    <w:p w14:paraId="5566A750">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
        </w:rPr>
      </w:pPr>
      <w:r>
        <w:rPr>
          <w:rFonts w:hint="default" w:ascii="Times New Roman" w:hAnsi="Times New Roman" w:eastAsia="仿宋_GB2312" w:cs="Times New Roman"/>
          <w:color w:val="auto"/>
          <w:spacing w:val="0"/>
          <w:sz w:val="32"/>
          <w:szCs w:val="32"/>
          <w:highlight w:val="none"/>
          <w:lang w:val="en-US" w:eastAsia="zh"/>
        </w:rPr>
        <w:t>支持各乡镇（街道）建立完善政府支持、农药生产经营使用者参与、专业机构协同的农药和肥料包装废弃物回收处理机制，完善回收处理体系，加强废弃物回收、储存、转运、处置再利用，促进农业绿色可持续发展。推动种植主体应用加厚高强度地膜和全生物降解地膜，推广应用地膜减量替代技术，推进废旧地膜回收和无害化处置，开展地膜残留监测，提升地膜科学使用回收水平。</w:t>
      </w:r>
    </w:p>
    <w:p w14:paraId="2423AD68">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楷体_GB2312" w:cs="Times New Roman"/>
          <w:b w:val="0"/>
          <w:bCs w:val="0"/>
          <w:spacing w:val="0"/>
          <w:sz w:val="32"/>
          <w:szCs w:val="32"/>
          <w:lang w:val="en-US" w:eastAsia="en-US"/>
        </w:rPr>
      </w:pPr>
      <w:r>
        <w:rPr>
          <w:rFonts w:hint="default" w:ascii="Times New Roman" w:hAnsi="Times New Roman" w:eastAsia="楷体_GB2312" w:cs="Times New Roman"/>
          <w:b w:val="0"/>
          <w:bCs w:val="0"/>
          <w:spacing w:val="0"/>
          <w:sz w:val="32"/>
          <w:szCs w:val="32"/>
          <w:lang w:val="en-US" w:eastAsia="en-US"/>
        </w:rPr>
        <w:t>（四）支持绿色发展监测能力建设</w:t>
      </w:r>
    </w:p>
    <w:p w14:paraId="5D074EEB">
      <w:pPr>
        <w:pStyle w:val="3"/>
        <w:keepNext/>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
        </w:rPr>
        <w:t>围绕种植业绿色发展情况、池塘养殖尾水、畜禽粪污资源化利用等内容布设具有代表性的固定监测点，持续开展监测评估，定期采集监测数据，逐步构建太湖地区农业绿色发展监测体系。支持各乡镇（街道）加强耕地质量监测，开展耕地质量等级调查评价、农产品产地环境例行监测、新增耕地土壤污染状况调查、农用地重点地块监测、耕地环境质量类别动态调整、受污染耕地安全利用等</w:t>
      </w:r>
      <w:r>
        <w:rPr>
          <w:rFonts w:hint="default" w:ascii="Times New Roman" w:hAnsi="Times New Roman" w:eastAsia="仿宋_GB2312" w:cs="Times New Roman"/>
          <w:color w:val="auto"/>
          <w:spacing w:val="0"/>
          <w:sz w:val="32"/>
          <w:szCs w:val="32"/>
          <w:highlight w:val="none"/>
          <w:lang w:val="en-US" w:eastAsia="zh-CN"/>
        </w:rPr>
        <w:t>。</w:t>
      </w:r>
    </w:p>
    <w:sectPr>
      <w:footerReference r:id="rId5" w:type="default"/>
      <w:pgSz w:w="11906" w:h="16839"/>
      <w:pgMar w:top="2098" w:right="1474" w:bottom="1984" w:left="147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F27A7">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C28154"/>
    <w:multiLevelType w:val="singleLevel"/>
    <w:tmpl w:val="4FC28154"/>
    <w:lvl w:ilvl="0" w:tentative="0">
      <w:start w:val="2"/>
      <w:numFmt w:val="chineseCounting"/>
      <w:suff w:val="nothing"/>
      <w:lvlText w:val="%1、"/>
      <w:lvlJc w:val="left"/>
      <w:rPr>
        <w:rFonts w:hint="eastAsia"/>
      </w:rPr>
    </w:lvl>
  </w:abstractNum>
  <w:abstractNum w:abstractNumId="1">
    <w:nsid w:val="590D90AE"/>
    <w:multiLevelType w:val="singleLevel"/>
    <w:tmpl w:val="590D90AE"/>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Dk5NWQ3ODE1NjY1ZGI1YzYyZjNhMzZjMGQ3YTYwZTgifQ=="/>
  </w:docVars>
  <w:rsids>
    <w:rsidRoot w:val="00000000"/>
    <w:rsid w:val="006E2E39"/>
    <w:rsid w:val="07F726D8"/>
    <w:rsid w:val="0FD11625"/>
    <w:rsid w:val="1FCC34B9"/>
    <w:rsid w:val="1FFFD038"/>
    <w:rsid w:val="2A175179"/>
    <w:rsid w:val="2A852128"/>
    <w:rsid w:val="2B4B5034"/>
    <w:rsid w:val="2BD650E5"/>
    <w:rsid w:val="2D121788"/>
    <w:rsid w:val="2DFC962D"/>
    <w:rsid w:val="2E3B4BD4"/>
    <w:rsid w:val="2F5D2B54"/>
    <w:rsid w:val="37342E63"/>
    <w:rsid w:val="37643EED"/>
    <w:rsid w:val="3A93522F"/>
    <w:rsid w:val="3B7D55B4"/>
    <w:rsid w:val="3EDFE0EB"/>
    <w:rsid w:val="4753784B"/>
    <w:rsid w:val="47A05642"/>
    <w:rsid w:val="5B2F815B"/>
    <w:rsid w:val="5B4F086F"/>
    <w:rsid w:val="5CB10FE2"/>
    <w:rsid w:val="5DD7E30A"/>
    <w:rsid w:val="5FA884B2"/>
    <w:rsid w:val="609B59DA"/>
    <w:rsid w:val="6197003B"/>
    <w:rsid w:val="66E2D7A7"/>
    <w:rsid w:val="6BE20E22"/>
    <w:rsid w:val="6F777873"/>
    <w:rsid w:val="6F7F859E"/>
    <w:rsid w:val="6FEFB5AA"/>
    <w:rsid w:val="70253F82"/>
    <w:rsid w:val="724C5DB7"/>
    <w:rsid w:val="72CF0001"/>
    <w:rsid w:val="72DB756C"/>
    <w:rsid w:val="73E72C4D"/>
    <w:rsid w:val="768F4FA1"/>
    <w:rsid w:val="77E39F7E"/>
    <w:rsid w:val="7A1E34AC"/>
    <w:rsid w:val="7AEEA8E2"/>
    <w:rsid w:val="7B195336"/>
    <w:rsid w:val="7B5E035E"/>
    <w:rsid w:val="7DE74C2B"/>
    <w:rsid w:val="7DEDE570"/>
    <w:rsid w:val="7DFBFBE9"/>
    <w:rsid w:val="7F7FF4CA"/>
    <w:rsid w:val="7F9F523F"/>
    <w:rsid w:val="7FB52CC3"/>
    <w:rsid w:val="7FBF32AD"/>
    <w:rsid w:val="7FDF15D2"/>
    <w:rsid w:val="7FFC94C0"/>
    <w:rsid w:val="7FFD6C57"/>
    <w:rsid w:val="97D5FDFE"/>
    <w:rsid w:val="BAB781D5"/>
    <w:rsid w:val="BF5B1E9C"/>
    <w:rsid w:val="BFEB6F6C"/>
    <w:rsid w:val="BFFD672F"/>
    <w:rsid w:val="CBF58B9B"/>
    <w:rsid w:val="D76F0075"/>
    <w:rsid w:val="D979ED8B"/>
    <w:rsid w:val="DD5F8056"/>
    <w:rsid w:val="ED53B8AB"/>
    <w:rsid w:val="EF2DFB95"/>
    <w:rsid w:val="EFCDF798"/>
    <w:rsid w:val="EFDFCB34"/>
    <w:rsid w:val="F4FCBE9F"/>
    <w:rsid w:val="F59BAEEC"/>
    <w:rsid w:val="F6FEE613"/>
    <w:rsid w:val="FB1BCC0A"/>
    <w:rsid w:val="FBD33A31"/>
    <w:rsid w:val="FEED5351"/>
    <w:rsid w:val="FF47AE6E"/>
    <w:rsid w:val="FFB94248"/>
    <w:rsid w:val="FFBF9109"/>
    <w:rsid w:val="FFCBB97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3061</Words>
  <Characters>3086</Characters>
  <TotalTime>28</TotalTime>
  <ScaleCrop>false</ScaleCrop>
  <LinksUpToDate>false</LinksUpToDate>
  <CharactersWithSpaces>3086</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2025-06-30T11:21:00Z</dcterms:created>
  <dc:creator>仲伟玮</dc:creator>
  <cp:lastModifiedBy>骑鹿崎路人</cp:lastModifiedBy>
  <cp:lastPrinted>2025-12-18T03:02:00Z</cp:lastPrinted>
  <dcterms:modified xsi:type="dcterms:W3CDTF">2026-01-28T01:39:53Z</dcterms:modified>
  <dc:title>苏农牧〔2010〕17号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2025-10-13T13:22:32Z</vt:filetime>
  </property>
  <property fmtid="{D5CDD505-2E9C-101B-9397-08002B2CF9AE}" pid="4" name="KSOProductBuildVer">
    <vt:lpwstr>2052-12.1.0.24657</vt:lpwstr>
  </property>
  <property fmtid="{D5CDD505-2E9C-101B-9397-08002B2CF9AE}" pid="5" name="ICV">
    <vt:lpwstr>9799DCAC153F4D488C048BCC689EFE47_13</vt:lpwstr>
  </property>
  <property fmtid="{D5CDD505-2E9C-101B-9397-08002B2CF9AE}" pid="6" name="KSOTemplateDocerSaveRecord">
    <vt:lpwstr>eyJoZGlkIjoiMjhiMjUyNDRmOWQ1OTI3MWQ1ZjVhZTI3NDI4OGY2Y2MiLCJ1c2VySWQiOiI0NDA3NTQ5OTQifQ==</vt:lpwstr>
  </property>
</Properties>
</file>