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1187E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附件：</w:t>
      </w:r>
    </w:p>
    <w:p w14:paraId="65C5BACD">
      <w:pPr>
        <w:pStyle w:val="12"/>
        <w:keepNext/>
        <w:keepLines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44"/>
          <w:szCs w:val="44"/>
          <w:u w:val="none"/>
          <w:shd w:val="clear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44"/>
          <w:szCs w:val="44"/>
          <w:u w:val="none"/>
          <w:shd w:val="clear"/>
          <w:lang w:val="en-US" w:eastAsia="zh-CN" w:bidi="ar-SA"/>
        </w:rPr>
        <w:t>202</w:t>
      </w:r>
      <w:r>
        <w:rPr>
          <w:rFonts w:hint="eastAsia" w:ascii="Times New Roman" w:hAnsi="Times New Roman" w:eastAsia="方正小标宋简体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44"/>
          <w:szCs w:val="44"/>
          <w:u w:val="none"/>
          <w:shd w:val="clear"/>
          <w:lang w:val="en-US" w:eastAsia="zh-CN" w:bidi="ar-SA"/>
        </w:rPr>
        <w:t>6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44"/>
          <w:szCs w:val="44"/>
          <w:u w:val="none"/>
          <w:shd w:val="clear"/>
          <w:lang w:val="en-US" w:eastAsia="zh-CN" w:bidi="ar-SA"/>
        </w:rPr>
        <w:t>年</w:t>
      </w:r>
      <w:bookmarkStart w:id="0" w:name="OLE_LINK1"/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44"/>
          <w:szCs w:val="44"/>
          <w:u w:val="none"/>
          <w:shd w:val="clear"/>
          <w:lang w:val="en-US" w:eastAsia="zh-CN" w:bidi="ar-SA"/>
        </w:rPr>
        <w:t>太仓市“定制新农干”招录</w:t>
      </w:r>
      <w:bookmarkEnd w:id="0"/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44"/>
          <w:szCs w:val="44"/>
          <w:u w:val="none"/>
          <w:shd w:val="clear"/>
          <w:lang w:val="en-US" w:eastAsia="zh-CN" w:bidi="ar-SA"/>
        </w:rPr>
        <w:t>简章</w:t>
      </w:r>
    </w:p>
    <w:p w14:paraId="3853DE4D">
      <w:pPr>
        <w:pStyle w:val="12"/>
        <w:keepNext/>
        <w:keepLines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0"/>
        <w:jc w:val="center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</w:pPr>
      <w:bookmarkStart w:id="2" w:name="_GoBack"/>
      <w:bookmarkEnd w:id="2"/>
    </w:p>
    <w:p w14:paraId="70A62F96">
      <w:pPr>
        <w:pStyle w:val="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97"/>
        <w:jc w:val="left"/>
        <w:textAlignment w:val="auto"/>
        <w:rPr>
          <w:rFonts w:hint="default" w:ascii="Times New Roman" w:hAnsi="Times New Roman" w:eastAsia="仿宋_GB2312" w:cs="Times New Roman"/>
          <w:spacing w:val="14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14"/>
          <w:sz w:val="32"/>
          <w:szCs w:val="32"/>
        </w:rPr>
        <w:t>乡村振兴</w:t>
      </w:r>
      <w:r>
        <w:rPr>
          <w:rFonts w:hint="default" w:ascii="Times New Roman" w:hAnsi="Times New Roman" w:eastAsia="仿宋_GB2312" w:cs="Times New Roman"/>
          <w:spacing w:val="14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14"/>
          <w:sz w:val="32"/>
          <w:szCs w:val="32"/>
        </w:rPr>
        <w:t>人才是关键</w:t>
      </w:r>
      <w:r>
        <w:rPr>
          <w:rFonts w:hint="default" w:ascii="Times New Roman" w:hAnsi="Times New Roman" w:eastAsia="仿宋_GB2312" w:cs="Times New Roman"/>
          <w:spacing w:val="14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pacing w:val="14"/>
          <w:sz w:val="32"/>
          <w:szCs w:val="32"/>
        </w:rPr>
        <w:t>长期以来</w:t>
      </w:r>
      <w:r>
        <w:rPr>
          <w:rFonts w:hint="default" w:ascii="Times New Roman" w:hAnsi="Times New Roman" w:eastAsia="仿宋_GB2312" w:cs="Times New Roman"/>
          <w:spacing w:val="14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14"/>
          <w:sz w:val="32"/>
          <w:szCs w:val="32"/>
        </w:rPr>
        <w:t>基层农业农村人才的相对匮乏已经成为乡村振兴的重要制约因素</w:t>
      </w:r>
      <w:r>
        <w:rPr>
          <w:rFonts w:hint="default" w:ascii="Times New Roman" w:hAnsi="Times New Roman" w:eastAsia="仿宋_GB2312" w:cs="Times New Roman"/>
          <w:spacing w:val="14"/>
          <w:sz w:val="32"/>
          <w:szCs w:val="32"/>
          <w:lang w:eastAsia="zh-CN"/>
        </w:rPr>
        <w:t>。根据省委组织部《关于实施“定制新农干”培育工程的通知》和《太仓市“定制新农干”培育工程</w:t>
      </w:r>
      <w:r>
        <w:rPr>
          <w:rFonts w:hint="default" w:ascii="Times New Roman" w:hAnsi="Times New Roman" w:eastAsia="仿宋_GB2312" w:cs="Times New Roman"/>
          <w:spacing w:val="14"/>
          <w:sz w:val="32"/>
          <w:szCs w:val="32"/>
        </w:rPr>
        <w:t>实施方案</w:t>
      </w:r>
      <w:r>
        <w:rPr>
          <w:rFonts w:hint="default" w:ascii="Times New Roman" w:hAnsi="Times New Roman" w:eastAsia="仿宋_GB2312" w:cs="Times New Roman"/>
          <w:spacing w:val="14"/>
          <w:sz w:val="32"/>
          <w:szCs w:val="32"/>
          <w:lang w:eastAsia="zh-CN"/>
        </w:rPr>
        <w:t>》（太组发〔</w:t>
      </w:r>
      <w:r>
        <w:rPr>
          <w:rFonts w:hint="default" w:ascii="Times New Roman" w:hAnsi="Times New Roman" w:eastAsia="仿宋_GB2312" w:cs="Times New Roman"/>
          <w:spacing w:val="14"/>
          <w:sz w:val="32"/>
          <w:szCs w:val="32"/>
          <w:lang w:val="en-US" w:eastAsia="zh-CN"/>
        </w:rPr>
        <w:t>2025〕3号</w:t>
      </w:r>
      <w:r>
        <w:rPr>
          <w:rFonts w:hint="default" w:ascii="Times New Roman" w:hAnsi="Times New Roman" w:eastAsia="仿宋_GB2312" w:cs="Times New Roman"/>
          <w:spacing w:val="14"/>
          <w:sz w:val="32"/>
          <w:szCs w:val="32"/>
          <w:lang w:eastAsia="zh-CN"/>
        </w:rPr>
        <w:t>）要求，结合我市农业农村发展人才需求，决定</w:t>
      </w:r>
      <w:r>
        <w:rPr>
          <w:rFonts w:hint="default" w:ascii="Times New Roman" w:hAnsi="Times New Roman" w:eastAsia="仿宋_GB2312" w:cs="Times New Roman"/>
          <w:spacing w:val="14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spacing w:val="14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14"/>
          <w:sz w:val="32"/>
          <w:szCs w:val="32"/>
          <w:lang w:val="en-US" w:eastAsia="zh-CN"/>
        </w:rPr>
        <w:t>年开展太仓市“定制新农干”培养工作，拟招生5人，相关政策如下：</w:t>
      </w:r>
    </w:p>
    <w:p w14:paraId="242544E1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一、定向培养目标</w:t>
      </w:r>
    </w:p>
    <w:p w14:paraId="43361D35">
      <w:pPr>
        <w:pStyle w:val="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96" w:firstLineChars="200"/>
        <w:jc w:val="left"/>
        <w:textAlignment w:val="auto"/>
        <w:rPr>
          <w:rFonts w:hint="default" w:ascii="Times New Roman" w:hAnsi="Times New Roman" w:eastAsia="仿宋_GB2312" w:cs="Times New Roman"/>
          <w:spacing w:val="14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14"/>
          <w:sz w:val="32"/>
          <w:szCs w:val="32"/>
        </w:rPr>
        <w:t>重点培养一批</w:t>
      </w:r>
      <w:r>
        <w:rPr>
          <w:rFonts w:hint="default" w:ascii="Times New Roman" w:hAnsi="Times New Roman" w:eastAsia="仿宋_GB2312" w:cs="Times New Roman"/>
          <w:spacing w:val="14"/>
          <w:sz w:val="32"/>
          <w:szCs w:val="32"/>
          <w:lang w:eastAsia="zh-CN"/>
        </w:rPr>
        <w:t>政治素质好、农村发展急需、留得住扎下根、具备农业生产经营管理新理念新知识新技能，</w:t>
      </w:r>
      <w:r>
        <w:rPr>
          <w:rFonts w:hint="default" w:ascii="Times New Roman" w:hAnsi="Times New Roman" w:eastAsia="仿宋_GB2312" w:cs="Times New Roman"/>
          <w:spacing w:val="14"/>
          <w:sz w:val="32"/>
          <w:szCs w:val="32"/>
        </w:rPr>
        <w:t>适合在</w:t>
      </w:r>
      <w:r>
        <w:rPr>
          <w:rFonts w:hint="default" w:ascii="Times New Roman" w:hAnsi="Times New Roman" w:eastAsia="仿宋_GB2312" w:cs="Times New Roman"/>
          <w:spacing w:val="14"/>
          <w:sz w:val="32"/>
          <w:szCs w:val="32"/>
          <w:lang w:eastAsia="zh-CN"/>
        </w:rPr>
        <w:t>涉农岗位</w:t>
      </w:r>
      <w:r>
        <w:rPr>
          <w:rFonts w:hint="default" w:ascii="Times New Roman" w:hAnsi="Times New Roman" w:eastAsia="仿宋_GB2312" w:cs="Times New Roman"/>
          <w:spacing w:val="14"/>
          <w:sz w:val="32"/>
          <w:szCs w:val="32"/>
        </w:rPr>
        <w:t>从事农业农村相关工作的实用型、复合型、技能型人才</w:t>
      </w:r>
      <w:r>
        <w:rPr>
          <w:rFonts w:hint="default" w:ascii="Times New Roman" w:hAnsi="Times New Roman" w:eastAsia="仿宋_GB2312" w:cs="Times New Roman"/>
          <w:spacing w:val="14"/>
          <w:sz w:val="32"/>
          <w:szCs w:val="32"/>
          <w:lang w:eastAsia="zh-CN"/>
        </w:rPr>
        <w:t>。</w:t>
      </w:r>
    </w:p>
    <w:p w14:paraId="0CC19C06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二、招录对象</w:t>
      </w:r>
    </w:p>
    <w:p w14:paraId="4076EC51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92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pacing w:val="13"/>
          <w:sz w:val="32"/>
          <w:szCs w:val="32"/>
        </w:rPr>
        <w:t>热爱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</w:rPr>
        <w:t>三农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</w:rPr>
        <w:t>事业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</w:rPr>
        <w:t>毕业后志愿从事基层农业农村工作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参加202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6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年全国普通高等学校招生统一考试，自愿签订定向培养和就业协议的太仓市户籍高中毕业生。</w:t>
      </w:r>
    </w:p>
    <w:p w14:paraId="39CC31EA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三、招录人数和专业</w:t>
      </w:r>
    </w:p>
    <w:p w14:paraId="09F3C409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 w:firstLine="692" w:firstLineChars="200"/>
        <w:jc w:val="left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13"/>
          <w:w w:val="100"/>
          <w:kern w:val="0"/>
          <w:position w:val="0"/>
          <w:sz w:val="32"/>
          <w:szCs w:val="32"/>
          <w:u w:val="none"/>
          <w:shd w:val="clear"/>
          <w:lang w:val="en-US" w:eastAsia="zh-CN" w:bidi="ar-SA"/>
        </w:rPr>
        <w:t>在省委组织部建议培养院校及专业中，分别以物理等科目类、历史等科目类本科录取控制分数线为基准，高出部分从高分到低分进行招录签约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13"/>
          <w:w w:val="100"/>
          <w:kern w:val="0"/>
          <w:position w:val="0"/>
          <w:sz w:val="32"/>
          <w:szCs w:val="32"/>
          <w:u w:val="none"/>
          <w:shd w:val="clear"/>
          <w:lang w:val="en-US" w:eastAsia="zh-CN" w:bidi="ar-SA"/>
        </w:rPr>
        <w:t>，共招录5人。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13"/>
          <w:w w:val="100"/>
          <w:kern w:val="0"/>
          <w:position w:val="0"/>
          <w:sz w:val="32"/>
          <w:szCs w:val="32"/>
          <w:u w:val="none"/>
          <w:shd w:val="clear"/>
          <w:lang w:val="en-US" w:eastAsia="zh-CN" w:bidi="ar-SA"/>
        </w:rPr>
        <w:t>具体院校和专业见附件。</w:t>
      </w:r>
    </w:p>
    <w:p w14:paraId="090D2F44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四、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2"/>
          <w:szCs w:val="32"/>
          <w:u w:val="none"/>
          <w:shd w:val="clear" w:color="auto" w:fill="auto"/>
          <w:lang w:val="en-US" w:eastAsia="zh-CN" w:bidi="ar-SA"/>
        </w:rPr>
        <w:t>正式签约</w:t>
      </w:r>
    </w:p>
    <w:p w14:paraId="4E4DB4A6">
      <w:pPr>
        <w:pStyle w:val="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2"/>
          <w:szCs w:val="32"/>
          <w:u w:val="none"/>
          <w:shd w:val="clear" w:color="auto" w:fill="auto"/>
          <w:lang w:val="en-US" w:eastAsia="zh-CN" w:bidi="ar-SA"/>
        </w:rPr>
        <w:t>202</w:t>
      </w:r>
      <w:r>
        <w:rPr>
          <w:rFonts w:hint="eastAsia" w:ascii="Times New Roman" w:hAnsi="Times New Roman" w:eastAsia="楷体_GB2312" w:cs="Times New Roman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2"/>
          <w:szCs w:val="32"/>
          <w:u w:val="none"/>
          <w:shd w:val="clear" w:color="auto" w:fill="auto"/>
          <w:lang w:val="en-US" w:eastAsia="zh-CN" w:bidi="ar-SA"/>
        </w:rPr>
        <w:t>6</w:t>
      </w:r>
      <w:r>
        <w:rPr>
          <w:rFonts w:hint="default" w:ascii="Times New Roman" w:hAnsi="Times New Roman" w:eastAsia="楷体_GB2312" w:cs="Times New Roman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2"/>
          <w:szCs w:val="32"/>
          <w:u w:val="none"/>
          <w:shd w:val="clear" w:color="auto" w:fill="auto"/>
          <w:lang w:val="en-US" w:eastAsia="zh-CN" w:bidi="ar-SA"/>
        </w:rPr>
        <w:t>年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7月下旬至8月中旬，根据合作院校反馈的符合条件的太仓市户籍学生录取情况，根据排序规则，确定签约名单。学生凭录取通知书，正式签订定向培养及就业协议书。排序靠前学生如放弃签约，则顺延递补。</w:t>
      </w:r>
    </w:p>
    <w:p w14:paraId="667E3EB4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</w:pPr>
      <w:bookmarkStart w:id="1" w:name="bookmark12"/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五、履约就业</w:t>
      </w:r>
    </w:p>
    <w:p w14:paraId="060ABB2D">
      <w:pPr>
        <w:pStyle w:val="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700"/>
        <w:jc w:val="left"/>
        <w:textAlignment w:val="auto"/>
        <w:rPr>
          <w:rFonts w:hint="default" w:ascii="Times New Roman" w:hAnsi="Times New Roman" w:eastAsia="仿宋_GB2312" w:cs="Times New Roman"/>
          <w:spacing w:val="13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13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楷体" w:cs="Times New Roman"/>
          <w:b w:val="0"/>
          <w:bCs w:val="0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履约服务</w:t>
      </w:r>
      <w:r>
        <w:rPr>
          <w:rFonts w:hint="default" w:ascii="Times New Roman" w:hAnsi="Times New Roman" w:eastAsia="楷体" w:cs="Times New Roman"/>
          <w:b w:val="0"/>
          <w:bCs w:val="0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定制新农干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</w:rPr>
        <w:t>毕业后需返回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lang w:eastAsia="zh-CN"/>
        </w:rPr>
        <w:t>太仓市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</w:rPr>
        <w:t>工作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</w:rPr>
        <w:t>主要从事基层农业农村生产经营管理和农业技术服务相关的工作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lang w:val="en-US" w:eastAsia="zh-CN"/>
        </w:rPr>
        <w:t>就业去向主要为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lang w:val="en-US" w:eastAsia="en-US"/>
        </w:rPr>
        <w:t>各乡镇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lang w:val="en-US" w:eastAsia="en-US"/>
        </w:rPr>
        <w:t>街道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lang w:val="en-US" w:eastAsia="zh-CN"/>
        </w:rPr>
        <w:t>）、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lang w:val="en-US" w:eastAsia="en-US"/>
        </w:rPr>
        <w:t>村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lang w:val="en-US" w:eastAsia="en-US"/>
        </w:rPr>
        <w:t>社区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lang w:val="en-US" w:eastAsia="zh-CN"/>
        </w:rPr>
        <w:t>）、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lang w:val="en-US" w:eastAsia="en-US"/>
        </w:rPr>
        <w:t>合作农场或区域性农业综合服务中心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lang w:val="en-US" w:eastAsia="zh-CN"/>
        </w:rPr>
        <w:t>等涉农岗位。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</w:rPr>
        <w:t>签订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lang w:eastAsia="zh-CN"/>
        </w:rPr>
        <w:t>劳动合同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</w:rPr>
        <w:t>后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</w:rPr>
        <w:t>学生须服从用人单位的工作安排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highlight w:val="none"/>
        </w:rPr>
        <w:t>最低服务年限不少于2年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highlight w:val="none"/>
        </w:rPr>
        <w:t>含试用期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</w:rPr>
        <w:t>如因工作能力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</w:rPr>
        <w:t>工作态度等原因导致考核不合格的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</w:rPr>
        <w:t>用人单位有权解除就业协议和劳动合同关系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</w:rPr>
        <w:t>学生自主择业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</w:rPr>
        <w:t>学生毕业后未服从安排到岗或到岗后未满服务年限离岗的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</w:rPr>
        <w:t>视为自愿放弃推荐的工作岗位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</w:rPr>
        <w:t>自主择业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lang w:eastAsia="zh-CN"/>
        </w:rPr>
        <w:t>。</w:t>
      </w:r>
    </w:p>
    <w:p w14:paraId="789654A3">
      <w:pPr>
        <w:pStyle w:val="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700"/>
        <w:jc w:val="left"/>
        <w:textAlignment w:val="auto"/>
        <w:rPr>
          <w:rFonts w:hint="default" w:ascii="Times New Roman" w:hAnsi="Times New Roman" w:eastAsia="仿宋_GB2312" w:cs="Times New Roman"/>
          <w:spacing w:val="13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13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楷体" w:cs="Times New Roman"/>
          <w:b w:val="0"/>
          <w:bCs w:val="0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工资待遇</w:t>
      </w:r>
      <w:r>
        <w:rPr>
          <w:rFonts w:hint="default" w:ascii="Times New Roman" w:hAnsi="Times New Roman" w:eastAsia="楷体" w:cs="Times New Roman"/>
          <w:b w:val="0"/>
          <w:bCs w:val="0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snapToGrid/>
          <w:color w:val="000000"/>
          <w:spacing w:val="13"/>
          <w:kern w:val="0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snapToGrid/>
          <w:color w:val="000000"/>
          <w:spacing w:val="13"/>
          <w:kern w:val="0"/>
          <w:sz w:val="32"/>
          <w:szCs w:val="32"/>
          <w:lang w:val="en-US" w:eastAsia="en-US" w:bidi="ar-SA"/>
        </w:rPr>
        <w:t>定制新农干</w:t>
      </w:r>
      <w:r>
        <w:rPr>
          <w:rFonts w:hint="default" w:ascii="Times New Roman" w:hAnsi="Times New Roman" w:eastAsia="仿宋_GB2312" w:cs="Times New Roman"/>
          <w:b w:val="0"/>
          <w:bCs w:val="0"/>
          <w:snapToGrid/>
          <w:color w:val="000000"/>
          <w:spacing w:val="13"/>
          <w:kern w:val="0"/>
          <w:sz w:val="32"/>
          <w:szCs w:val="32"/>
          <w:lang w:val="en-US" w:eastAsia="zh-CN" w:bidi="ar-SA"/>
        </w:rPr>
        <w:t>”不提供公务员、事业编制，</w:t>
      </w:r>
      <w:r>
        <w:rPr>
          <w:rFonts w:hint="default" w:ascii="Times New Roman" w:hAnsi="Times New Roman" w:eastAsia="仿宋_GB2312" w:cs="Times New Roman"/>
          <w:color w:val="000000"/>
          <w:spacing w:val="13"/>
          <w:sz w:val="32"/>
          <w:szCs w:val="32"/>
        </w:rPr>
        <w:t>档案</w:t>
      </w:r>
      <w:r>
        <w:rPr>
          <w:rFonts w:hint="default" w:ascii="Times New Roman" w:hAnsi="Times New Roman" w:eastAsia="仿宋_GB2312" w:cs="Times New Roman"/>
          <w:color w:val="000000"/>
          <w:spacing w:val="13"/>
          <w:sz w:val="32"/>
          <w:szCs w:val="32"/>
          <w:lang w:val="en-US" w:eastAsia="zh-CN"/>
        </w:rPr>
        <w:t>按照管理权限由相关单位管理。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</w:rPr>
        <w:t>薪资待遇按照所在镇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</w:rPr>
        <w:t>街道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</w:rPr>
        <w:t>同等岗位</w:t>
      </w:r>
      <w:r>
        <w:rPr>
          <w:rFonts w:hint="default" w:ascii="Times New Roman" w:hAnsi="Times New Roman" w:eastAsia="仿宋_GB2312" w:cs="Times New Roman"/>
          <w:color w:val="000000"/>
          <w:spacing w:val="13"/>
          <w:sz w:val="32"/>
          <w:szCs w:val="32"/>
          <w:lang w:val="en-US" w:eastAsia="zh-CN"/>
        </w:rPr>
        <w:t>非编用工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highlight w:val="none"/>
        </w:rPr>
        <w:t>待遇标准执行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highlight w:val="none"/>
        </w:rPr>
        <w:t>并按有关规定参加城镇职工社会保险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highlight w:val="none"/>
        </w:rPr>
        <w:t>办理人身意外伤害保险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highlight w:val="none"/>
        </w:rPr>
        <w:t>缴纳住房公积金等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highlight w:val="none"/>
        </w:rPr>
        <w:t>对于表现优秀的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highlight w:val="none"/>
          <w:lang w:eastAsia="zh-CN"/>
        </w:rPr>
        <w:t>“定制新农干”，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highlight w:val="none"/>
        </w:rPr>
        <w:t>纳入村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highlight w:val="none"/>
        </w:rPr>
        <w:t>社区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highlight w:val="none"/>
        </w:rPr>
        <w:t>两委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highlight w:val="none"/>
          <w:lang w:eastAsia="zh-CN"/>
        </w:rPr>
        <w:t>”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highlight w:val="none"/>
        </w:rPr>
        <w:t>班子后备力量培养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highlight w:val="none"/>
          <w:lang w:eastAsia="zh-CN"/>
        </w:rPr>
        <w:t>。</w:t>
      </w:r>
    </w:p>
    <w:p w14:paraId="5CE2C217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六、经费补助政策</w:t>
      </w:r>
    </w:p>
    <w:p w14:paraId="6921D314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92" w:firstLineChars="200"/>
        <w:jc w:val="left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snapToGrid w:val="0"/>
          <w:color w:val="000000"/>
          <w:spacing w:val="13"/>
          <w:kern w:val="0"/>
          <w:sz w:val="32"/>
          <w:szCs w:val="32"/>
          <w:lang w:val="en-US" w:eastAsia="zh-CN" w:bidi="ar-SA"/>
        </w:rPr>
        <w:t>1.入学</w:t>
      </w:r>
      <w:r>
        <w:rPr>
          <w:rFonts w:hint="default" w:ascii="Times New Roman" w:hAnsi="Times New Roman" w:eastAsia="楷体_GB2312" w:cs="Times New Roman"/>
          <w:snapToGrid w:val="0"/>
          <w:color w:val="000000"/>
          <w:spacing w:val="13"/>
          <w:kern w:val="0"/>
          <w:sz w:val="32"/>
          <w:szCs w:val="32"/>
          <w:lang w:val="en-US" w:eastAsia="en-US" w:bidi="ar-SA"/>
        </w:rPr>
        <w:t>补助</w:t>
      </w:r>
      <w:r>
        <w:rPr>
          <w:rFonts w:hint="default" w:ascii="Times New Roman" w:hAnsi="Times New Roman" w:eastAsia="楷体_GB2312" w:cs="Times New Roman"/>
          <w:snapToGrid w:val="0"/>
          <w:color w:val="000000"/>
          <w:spacing w:val="13"/>
          <w:kern w:val="0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对在校学习期间成绩合格的“定制新农干”进行补助，省级层面每生每年补助4000元，每学年结束时发放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000000"/>
          <w:spacing w:val="17"/>
          <w:kern w:val="0"/>
          <w:sz w:val="32"/>
          <w:szCs w:val="32"/>
          <w:highlight w:val="none"/>
          <w:lang w:val="en-US" w:eastAsia="zh-CN" w:bidi="ar-SA"/>
        </w:rPr>
        <w:t>。</w:t>
      </w:r>
    </w:p>
    <w:p w14:paraId="521B5624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92" w:firstLineChars="200"/>
        <w:jc w:val="left"/>
        <w:textAlignment w:val="auto"/>
        <w:rPr>
          <w:rFonts w:hint="default" w:ascii="Times New Roman" w:hAnsi="Times New Roman" w:eastAsia="仿宋_GB2312" w:cs="Times New Roman"/>
          <w:spacing w:val="13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_GB2312" w:cs="Times New Roman"/>
          <w:snapToGrid w:val="0"/>
          <w:color w:val="000000"/>
          <w:spacing w:val="13"/>
          <w:kern w:val="0"/>
          <w:sz w:val="32"/>
          <w:szCs w:val="32"/>
          <w:lang w:val="en-US" w:eastAsia="zh-CN" w:bidi="ar-SA"/>
        </w:rPr>
        <w:t>2.就业补助。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000000"/>
          <w:spacing w:val="17"/>
          <w:kern w:val="0"/>
          <w:sz w:val="32"/>
          <w:szCs w:val="32"/>
          <w:highlight w:val="none"/>
          <w:lang w:val="en-US" w:eastAsia="zh-CN" w:bidi="ar-SA"/>
        </w:rPr>
        <w:t>市级层面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highlight w:val="none"/>
        </w:rPr>
        <w:t>在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000000"/>
          <w:spacing w:val="17"/>
          <w:kern w:val="0"/>
          <w:sz w:val="32"/>
          <w:szCs w:val="32"/>
          <w:highlight w:val="none"/>
          <w:lang w:val="en-US" w:eastAsia="zh-CN" w:bidi="ar-SA"/>
        </w:rPr>
        <w:t>“定制新农干”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highlight w:val="none"/>
        </w:rPr>
        <w:t>毕业并取得相应证书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highlight w:val="none"/>
        </w:rPr>
        <w:t>到推荐岗位工作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highlight w:val="none"/>
          <w:lang w:eastAsia="zh-CN"/>
        </w:rPr>
        <w:t>满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highlight w:val="none"/>
          <w:lang w:val="en-US" w:eastAsia="zh-CN"/>
        </w:rPr>
        <w:t>6个月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highlight w:val="none"/>
        </w:rPr>
        <w:t>后补助学杂费1万元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highlight w:val="none"/>
        </w:rPr>
        <w:t>在岗工作满2年后再补助岗位补助1万元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highlight w:val="none"/>
          <w:lang w:eastAsia="zh-CN"/>
        </w:rPr>
        <w:t>。</w:t>
      </w:r>
    </w:p>
    <w:p w14:paraId="111DE2B8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w w:val="100"/>
          <w:kern w:val="0"/>
          <w:position w:val="0"/>
          <w:sz w:val="32"/>
          <w:szCs w:val="32"/>
          <w:shd w:val="clear" w:color="auto" w:fill="auto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kern w:val="0"/>
          <w:position w:val="0"/>
          <w:sz w:val="32"/>
          <w:szCs w:val="32"/>
          <w:shd w:val="clear" w:color="auto" w:fill="auto"/>
          <w:lang w:val="en-US" w:eastAsia="zh-CN" w:bidi="ar"/>
        </w:rPr>
        <w:t>“定制新农干”享受在校学生同等的奖、助、贷学金等相关政策。</w:t>
      </w:r>
    </w:p>
    <w:bookmarkEnd w:id="1"/>
    <w:p w14:paraId="4349EA12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七、归口管理</w:t>
      </w:r>
    </w:p>
    <w:p w14:paraId="3E0E8C38">
      <w:pPr>
        <w:pStyle w:val="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pacing w:val="13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kern w:val="0"/>
          <w:position w:val="0"/>
          <w:sz w:val="32"/>
          <w:szCs w:val="32"/>
          <w:shd w:val="clear" w:color="auto" w:fill="auto"/>
          <w:lang w:val="en-US" w:eastAsia="zh-CN" w:bidi="ar"/>
        </w:rPr>
        <w:t>“定制新农干”培养由市委组织部全面统筹和协调。市农业农村局负责招录签约、院校合作、技能培训等具体工作。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lang w:eastAsia="zh-CN"/>
        </w:rPr>
        <w:t>市教育局负责招生宣传等工作。市财政局负责经费保障等工作。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highlight w:val="none"/>
          <w:lang w:eastAsia="zh-CN"/>
        </w:rPr>
        <w:t>市人社局负责协助做好就业安排等工作。各区镇负责提供</w:t>
      </w:r>
      <w:r>
        <w:rPr>
          <w:rFonts w:hint="default" w:ascii="Times New Roman" w:hAnsi="Times New Roman" w:eastAsia="仿宋_GB2312" w:cs="Times New Roman"/>
          <w:spacing w:val="13"/>
          <w:sz w:val="32"/>
          <w:szCs w:val="32"/>
          <w:lang w:eastAsia="zh-CN"/>
        </w:rPr>
        <w:t>工作岗位和日常管理等工作。</w:t>
      </w:r>
    </w:p>
    <w:p w14:paraId="6300E7A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咨询电话：太仓市农业农村局  0512-53890819</w:t>
      </w:r>
    </w:p>
    <w:p w14:paraId="3A82363A">
      <w:pPr>
        <w:pStyle w:val="2"/>
        <w:ind w:firstLine="2240" w:firstLineChars="700"/>
        <w:jc w:val="both"/>
        <w:rPr>
          <w:rFonts w:hint="default"/>
          <w:highlight w:val="yellow"/>
          <w:lang w:val="en-US" w:eastAsia="zh-CN"/>
        </w:rPr>
      </w:pPr>
      <w:r>
        <w:rPr>
          <w:rFonts w:hint="eastAsia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 xml:space="preserve">太仓市教育局         </w:t>
      </w:r>
      <w:r>
        <w:rPr>
          <w:rFonts w:hint="eastAsia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highlight w:val="none"/>
          <w:u w:val="none"/>
          <w:shd w:val="clear"/>
          <w:lang w:val="en-US" w:eastAsia="zh-CN" w:bidi="ar-SA"/>
        </w:rPr>
        <w:t xml:space="preserve"> 0512-53531169</w:t>
      </w:r>
    </w:p>
    <w:p w14:paraId="39719D3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附件：合作院校及专业名单</w:t>
      </w:r>
    </w:p>
    <w:p w14:paraId="465E3349">
      <w:pPr>
        <w:ind w:firstLine="960" w:firstLineChars="300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2"/>
          <w:szCs w:val="32"/>
          <w:u w:val="none"/>
          <w:shd w:val="clear" w:color="auto" w:fill="auto"/>
          <w:lang w:val="en-US" w:eastAsia="zh-CN" w:bidi="ar-SA"/>
        </w:rPr>
      </w:pPr>
    </w:p>
    <w:p w14:paraId="20280D4D">
      <w:pPr>
        <w:pStyle w:val="2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2"/>
          <w:szCs w:val="32"/>
          <w:u w:val="none"/>
          <w:shd w:val="clear" w:color="auto" w:fill="auto"/>
          <w:lang w:val="en-US" w:eastAsia="zh-CN" w:bidi="ar-SA"/>
        </w:rPr>
      </w:pPr>
    </w:p>
    <w:p w14:paraId="4C477625">
      <w:pP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2"/>
          <w:szCs w:val="32"/>
          <w:u w:val="none"/>
          <w:shd w:val="clear" w:color="auto" w:fill="auto"/>
          <w:lang w:val="en-US" w:eastAsia="zh-CN" w:bidi="ar-SA"/>
        </w:rPr>
      </w:pPr>
    </w:p>
    <w:p w14:paraId="7975C57D">
      <w:pP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2"/>
          <w:szCs w:val="32"/>
          <w:u w:val="none"/>
          <w:shd w:val="clear" w:color="auto" w:fill="auto"/>
          <w:lang w:val="en-US" w:eastAsia="zh-CN" w:bidi="ar-SA"/>
        </w:rPr>
      </w:pPr>
    </w:p>
    <w:p w14:paraId="1E997BC7">
      <w:pP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2"/>
          <w:szCs w:val="32"/>
          <w:u w:val="none"/>
          <w:shd w:val="clear" w:color="auto" w:fill="auto"/>
          <w:lang w:val="en-US" w:eastAsia="zh-CN" w:bidi="ar-SA"/>
        </w:rPr>
      </w:pPr>
    </w:p>
    <w:p w14:paraId="6452DBFA">
      <w:pP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2"/>
          <w:szCs w:val="32"/>
          <w:u w:val="none"/>
          <w:shd w:val="clear" w:color="auto" w:fill="auto"/>
          <w:lang w:val="en-US" w:eastAsia="zh-CN" w:bidi="ar-SA"/>
        </w:rPr>
      </w:pPr>
    </w:p>
    <w:p w14:paraId="16792B70">
      <w:pPr>
        <w:pStyle w:val="2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2"/>
          <w:szCs w:val="32"/>
          <w:u w:val="none"/>
          <w:shd w:val="clear" w:color="auto" w:fill="auto"/>
          <w:lang w:val="en-US" w:eastAsia="zh-CN" w:bidi="ar-SA"/>
        </w:rPr>
      </w:pPr>
    </w:p>
    <w:p w14:paraId="74A245C2">
      <w:pP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2"/>
          <w:szCs w:val="32"/>
          <w:u w:val="none"/>
          <w:shd w:val="clear" w:color="auto" w:fill="auto"/>
          <w:lang w:val="en-US" w:eastAsia="zh-CN" w:bidi="ar-SA"/>
        </w:rPr>
      </w:pPr>
    </w:p>
    <w:p w14:paraId="7FD1EB7C">
      <w:pPr>
        <w:pStyle w:val="2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2"/>
          <w:szCs w:val="32"/>
          <w:u w:val="none"/>
          <w:shd w:val="clear" w:color="auto" w:fill="auto"/>
          <w:lang w:val="en-US" w:eastAsia="zh-CN" w:bidi="ar-SA"/>
        </w:rPr>
      </w:pPr>
    </w:p>
    <w:p w14:paraId="0348F8E6">
      <w:pPr>
        <w:rPr>
          <w:rFonts w:hint="default" w:ascii="Times New Roman" w:hAnsi="Times New Roman" w:cs="Times New Roman"/>
          <w:lang w:val="en-US" w:eastAsia="zh-CN"/>
        </w:rPr>
      </w:pPr>
    </w:p>
    <w:p w14:paraId="0F5933D7">
      <w:pP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2"/>
          <w:szCs w:val="32"/>
          <w:u w:val="none"/>
          <w:shd w:val="clear" w:color="auto" w:fill="auto"/>
          <w:lang w:val="en-US" w:eastAsia="zh-CN" w:bidi="ar-SA"/>
        </w:rPr>
      </w:pPr>
    </w:p>
    <w:p w14:paraId="6C510EC5">
      <w:pP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2"/>
          <w:szCs w:val="32"/>
          <w:u w:val="none"/>
          <w:shd w:val="clear" w:color="auto" w:fill="auto"/>
          <w:lang w:val="en-US" w:eastAsia="zh-CN" w:bidi="ar-SA"/>
        </w:rPr>
      </w:pPr>
    </w:p>
    <w:p w14:paraId="262D4FBD">
      <w:pP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2"/>
          <w:szCs w:val="32"/>
          <w:u w:val="none"/>
          <w:shd w:val="clear" w:color="auto" w:fill="auto"/>
          <w:lang w:val="en-US" w:eastAsia="zh-CN" w:bidi="ar-SA"/>
        </w:rPr>
      </w:pPr>
    </w:p>
    <w:p w14:paraId="38696843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2"/>
          <w:szCs w:val="32"/>
          <w:u w:val="none"/>
          <w:shd w:val="clear" w:color="auto" w:fill="auto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2"/>
          <w:szCs w:val="32"/>
          <w:u w:val="none"/>
          <w:shd w:val="clear" w:color="auto" w:fill="auto"/>
          <w:lang w:val="en-US" w:eastAsia="zh-CN" w:bidi="ar-SA"/>
        </w:rPr>
        <w:t>附件：</w:t>
      </w:r>
    </w:p>
    <w:p w14:paraId="009F874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44"/>
          <w:szCs w:val="44"/>
          <w:u w:val="none"/>
          <w:shd w:val="clear" w:color="auto" w:fill="auto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44"/>
          <w:szCs w:val="44"/>
          <w:u w:val="none"/>
          <w:shd w:val="clear" w:color="auto" w:fill="auto"/>
          <w:lang w:val="en-US" w:eastAsia="zh-CN" w:bidi="ar-SA"/>
        </w:rPr>
        <w:t>合作院校及专业名单</w:t>
      </w:r>
    </w:p>
    <w:p w14:paraId="2086210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44"/>
          <w:szCs w:val="44"/>
          <w:u w:val="none"/>
          <w:shd w:val="clear" w:color="auto" w:fill="auto"/>
          <w:lang w:val="en-US" w:eastAsia="zh-CN" w:bidi="ar-SA"/>
        </w:rPr>
      </w:pPr>
    </w:p>
    <w:p w14:paraId="1FE309A3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0"/>
        <w:jc w:val="left"/>
        <w:textAlignment w:val="auto"/>
        <w:rPr>
          <w:rFonts w:hint="default" w:ascii="Times New Roman" w:hAnsi="Times New Roman" w:eastAsia="黑体" w:cs="Times New Roman"/>
          <w:color w:val="000000"/>
          <w:spacing w:val="0"/>
          <w:w w:val="100"/>
          <w:kern w:val="0"/>
          <w:position w:val="0"/>
          <w:sz w:val="32"/>
          <w:szCs w:val="32"/>
          <w:u w:val="none"/>
          <w:shd w:val="clear" w:color="auto" w:fill="auto"/>
          <w:lang w:val="en-US" w:eastAsia="zh-CN" w:bidi="ar"/>
        </w:rPr>
      </w:pPr>
      <w:r>
        <w:rPr>
          <w:rFonts w:hint="default" w:ascii="Times New Roman" w:hAnsi="Times New Roman" w:eastAsia="黑体" w:cs="Times New Roman"/>
          <w:color w:val="000000"/>
          <w:spacing w:val="0"/>
          <w:w w:val="100"/>
          <w:kern w:val="0"/>
          <w:position w:val="0"/>
          <w:sz w:val="32"/>
          <w:szCs w:val="32"/>
          <w:u w:val="none"/>
          <w:shd w:val="clear" w:color="auto" w:fill="auto"/>
          <w:lang w:val="en-US" w:eastAsia="zh-CN" w:bidi="ar"/>
        </w:rPr>
        <w:t>南京农业大学</w:t>
      </w:r>
    </w:p>
    <w:p w14:paraId="44BE6FE9">
      <w:pPr>
        <w:keepNext w:val="0"/>
        <w:keepLines w:val="0"/>
        <w:pageBreakBefore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w w:val="100"/>
          <w:kern w:val="0"/>
          <w:position w:val="0"/>
          <w:sz w:val="32"/>
          <w:szCs w:val="32"/>
          <w:u w:val="none"/>
          <w:shd w:val="clear" w:color="auto" w:fill="auto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kern w:val="0"/>
          <w:position w:val="0"/>
          <w:sz w:val="32"/>
          <w:szCs w:val="32"/>
          <w:u w:val="none"/>
          <w:shd w:val="clear" w:color="auto" w:fill="auto"/>
          <w:lang w:val="en-US" w:eastAsia="zh-CN" w:bidi="ar"/>
        </w:rPr>
        <w:t>专业：农学、种子科学与工程、生物育种科学、植物保护、环境科学与工程类（含农业资源与环境、环境工程、环境科学、生态学）、风景园林、园艺、设施农业科学与工程、茶学</w:t>
      </w:r>
    </w:p>
    <w:p w14:paraId="0D5BB32F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firstLine="0" w:firstLineChars="0"/>
        <w:jc w:val="left"/>
        <w:textAlignment w:val="auto"/>
        <w:rPr>
          <w:rFonts w:hint="default" w:ascii="Times New Roman" w:hAnsi="Times New Roman" w:eastAsia="黑体" w:cs="Times New Roman"/>
          <w:color w:val="000000"/>
          <w:spacing w:val="0"/>
          <w:w w:val="100"/>
          <w:kern w:val="0"/>
          <w:position w:val="0"/>
          <w:sz w:val="32"/>
          <w:szCs w:val="32"/>
          <w:u w:val="none"/>
          <w:shd w:val="clear" w:color="auto" w:fill="auto"/>
          <w:lang w:val="en-US" w:eastAsia="zh-CN" w:bidi="ar"/>
        </w:rPr>
      </w:pPr>
      <w:r>
        <w:rPr>
          <w:rFonts w:hint="default" w:ascii="Times New Roman" w:hAnsi="Times New Roman" w:eastAsia="黑体" w:cs="Times New Roman"/>
          <w:color w:val="000000"/>
          <w:spacing w:val="0"/>
          <w:w w:val="100"/>
          <w:kern w:val="0"/>
          <w:position w:val="0"/>
          <w:sz w:val="32"/>
          <w:szCs w:val="32"/>
          <w:u w:val="none"/>
          <w:shd w:val="clear" w:color="auto" w:fill="auto"/>
          <w:lang w:val="en-US" w:eastAsia="zh-CN" w:bidi="ar"/>
        </w:rPr>
        <w:t>南京林业大学</w:t>
      </w:r>
    </w:p>
    <w:p w14:paraId="4A392436">
      <w:pPr>
        <w:keepNext w:val="0"/>
        <w:keepLines w:val="0"/>
        <w:pageBreakBefore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w w:val="100"/>
          <w:kern w:val="0"/>
          <w:position w:val="0"/>
          <w:sz w:val="32"/>
          <w:szCs w:val="32"/>
          <w:u w:val="none"/>
          <w:shd w:val="clear" w:color="auto" w:fill="auto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kern w:val="0"/>
          <w:position w:val="0"/>
          <w:sz w:val="32"/>
          <w:szCs w:val="32"/>
          <w:u w:val="none"/>
          <w:shd w:val="clear" w:color="auto" w:fill="auto"/>
          <w:lang w:val="en-US" w:eastAsia="zh-CN" w:bidi="ar"/>
        </w:rPr>
        <w:t>专业：林学、农林经济管理</w:t>
      </w:r>
    </w:p>
    <w:p w14:paraId="17071B4B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firstLine="0" w:firstLineChars="0"/>
        <w:jc w:val="left"/>
        <w:textAlignment w:val="auto"/>
        <w:rPr>
          <w:rFonts w:hint="default" w:ascii="Times New Roman" w:hAnsi="Times New Roman" w:eastAsia="黑体" w:cs="Times New Roman"/>
          <w:color w:val="000000"/>
          <w:spacing w:val="0"/>
          <w:w w:val="100"/>
          <w:kern w:val="0"/>
          <w:position w:val="0"/>
          <w:sz w:val="32"/>
          <w:szCs w:val="32"/>
          <w:u w:val="none"/>
          <w:shd w:val="clear" w:color="auto" w:fill="auto"/>
          <w:lang w:val="en-US" w:eastAsia="zh-CN" w:bidi="ar"/>
        </w:rPr>
      </w:pPr>
      <w:r>
        <w:rPr>
          <w:rFonts w:hint="default" w:ascii="Times New Roman" w:hAnsi="Times New Roman" w:eastAsia="黑体" w:cs="Times New Roman"/>
          <w:color w:val="000000"/>
          <w:spacing w:val="0"/>
          <w:w w:val="100"/>
          <w:kern w:val="0"/>
          <w:position w:val="0"/>
          <w:sz w:val="32"/>
          <w:szCs w:val="32"/>
          <w:u w:val="none"/>
          <w:shd w:val="clear" w:color="auto" w:fill="auto"/>
          <w:lang w:val="en-US" w:eastAsia="zh-CN" w:bidi="ar"/>
        </w:rPr>
        <w:t>南京财经大学</w:t>
      </w:r>
    </w:p>
    <w:p w14:paraId="1FB7840F">
      <w:pPr>
        <w:keepNext w:val="0"/>
        <w:keepLines w:val="0"/>
        <w:pageBreakBefore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w w:val="100"/>
          <w:kern w:val="0"/>
          <w:position w:val="0"/>
          <w:sz w:val="32"/>
          <w:szCs w:val="32"/>
          <w:u w:val="none"/>
          <w:shd w:val="clear" w:color="auto" w:fill="auto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kern w:val="0"/>
          <w:position w:val="0"/>
          <w:sz w:val="32"/>
          <w:szCs w:val="32"/>
          <w:u w:val="none"/>
          <w:shd w:val="clear" w:color="auto" w:fill="auto"/>
          <w:lang w:val="en-US" w:eastAsia="zh-CN" w:bidi="ar"/>
        </w:rPr>
        <w:t>专业：行政管理、电子商务、食品科学与工程、社会工作、旅游管理</w:t>
      </w:r>
    </w:p>
    <w:p w14:paraId="5187DB25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000000"/>
          <w:spacing w:val="0"/>
          <w:w w:val="100"/>
          <w:kern w:val="0"/>
          <w:position w:val="0"/>
          <w:sz w:val="32"/>
          <w:szCs w:val="32"/>
          <w:u w:val="none"/>
          <w:shd w:val="clear" w:color="auto" w:fill="auto"/>
          <w:lang w:val="en-US" w:eastAsia="zh-CN" w:bidi="ar"/>
        </w:rPr>
      </w:pPr>
      <w:r>
        <w:rPr>
          <w:rFonts w:hint="default" w:ascii="Times New Roman" w:hAnsi="Times New Roman" w:eastAsia="黑体" w:cs="Times New Roman"/>
          <w:color w:val="000000"/>
          <w:spacing w:val="0"/>
          <w:w w:val="100"/>
          <w:kern w:val="0"/>
          <w:position w:val="0"/>
          <w:sz w:val="32"/>
          <w:szCs w:val="32"/>
          <w:u w:val="none"/>
          <w:shd w:val="clear" w:color="auto" w:fill="auto"/>
          <w:lang w:val="en-US" w:eastAsia="zh-CN" w:bidi="ar"/>
        </w:rPr>
        <w:t>江苏大学</w:t>
      </w:r>
    </w:p>
    <w:p w14:paraId="047D142D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w w:val="100"/>
          <w:kern w:val="0"/>
          <w:position w:val="0"/>
          <w:sz w:val="32"/>
          <w:szCs w:val="32"/>
          <w:u w:val="none"/>
          <w:shd w:val="clear" w:color="auto" w:fill="auto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kern w:val="0"/>
          <w:position w:val="0"/>
          <w:sz w:val="32"/>
          <w:szCs w:val="32"/>
          <w:u w:val="none"/>
          <w:shd w:val="clear" w:color="auto" w:fill="auto"/>
          <w:lang w:val="en-US" w:eastAsia="zh-CN" w:bidi="ar"/>
        </w:rPr>
        <w:t>专业：农业电气化、农业机械化及其自动化、农业智能装备工程</w:t>
      </w:r>
    </w:p>
    <w:p w14:paraId="6CADD3AD">
      <w:pPr>
        <w:keepNext w:val="0"/>
        <w:keepLines w:val="0"/>
        <w:pageBreakBefore w:val="0"/>
        <w:numPr>
          <w:ilvl w:val="-1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default" w:ascii="Times New Roman" w:hAnsi="Times New Roman" w:eastAsia="黑体" w:cs="Times New Roman"/>
          <w:color w:val="000000"/>
          <w:spacing w:val="0"/>
          <w:w w:val="100"/>
          <w:kern w:val="0"/>
          <w:position w:val="0"/>
          <w:sz w:val="32"/>
          <w:szCs w:val="32"/>
          <w:u w:val="none"/>
          <w:shd w:val="clear" w:color="auto" w:fill="auto"/>
          <w:lang w:val="en-US" w:eastAsia="zh-CN" w:bidi="ar"/>
        </w:rPr>
      </w:pPr>
      <w:r>
        <w:rPr>
          <w:rFonts w:hint="default" w:ascii="Times New Roman" w:hAnsi="Times New Roman" w:eastAsia="黑体" w:cs="Times New Roman"/>
          <w:color w:val="000000"/>
          <w:spacing w:val="0"/>
          <w:w w:val="100"/>
          <w:kern w:val="0"/>
          <w:position w:val="0"/>
          <w:sz w:val="32"/>
          <w:szCs w:val="32"/>
          <w:u w:val="none"/>
          <w:shd w:val="clear" w:color="auto" w:fill="auto"/>
          <w:lang w:val="en-US" w:eastAsia="zh-CN" w:bidi="ar"/>
        </w:rPr>
        <w:t>5.扬州大学</w:t>
      </w:r>
    </w:p>
    <w:p w14:paraId="18B42D2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default"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zh-CN" w:bidi="en-US"/>
        </w:rPr>
      </w:pP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kern w:val="0"/>
          <w:position w:val="0"/>
          <w:sz w:val="32"/>
          <w:szCs w:val="32"/>
          <w:u w:val="none"/>
          <w:shd w:val="clear" w:color="auto" w:fill="auto"/>
          <w:lang w:val="en-US" w:eastAsia="zh-CN" w:bidi="ar"/>
        </w:rPr>
        <w:t>专业：农学、园艺、农村区域发展、智慧农业、农林经济管理</w:t>
      </w:r>
    </w:p>
    <w:p w14:paraId="68EB3FD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cs="Times New Roman"/>
          <w:lang w:eastAsia="zh-CN"/>
        </w:rPr>
      </w:pPr>
    </w:p>
    <w:sectPr>
      <w:footnotePr>
        <w:numFmt w:val="decimal"/>
      </w:footnotePr>
      <w:pgSz w:w="11900" w:h="16840"/>
      <w:pgMar w:top="2098" w:right="1474" w:bottom="1984" w:left="1473" w:header="1523" w:footer="1853" w:gutter="0"/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</w:p>
  </w:endnote>
  <w:endnote w:type="continuationSeparator" w:id="1">
    <w:p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</w:p>
  </w:footnote>
  <w:footnote w:type="continuationSeparator" w:id="1">
    <w:p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EE2C72"/>
    <w:multiLevelType w:val="singleLevel"/>
    <w:tmpl w:val="B9EE2C7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</w:compat>
  <w:rsids>
    <w:rsidRoot w:val="00000000"/>
    <w:rsid w:val="00E15714"/>
    <w:rsid w:val="018D2C30"/>
    <w:rsid w:val="02A52D67"/>
    <w:rsid w:val="041A6372"/>
    <w:rsid w:val="07667811"/>
    <w:rsid w:val="086175C9"/>
    <w:rsid w:val="0DE0038F"/>
    <w:rsid w:val="0E7A5A4D"/>
    <w:rsid w:val="12750487"/>
    <w:rsid w:val="144A60B5"/>
    <w:rsid w:val="1973195F"/>
    <w:rsid w:val="26C100E1"/>
    <w:rsid w:val="31A14996"/>
    <w:rsid w:val="352E6D77"/>
    <w:rsid w:val="37562D94"/>
    <w:rsid w:val="39E037CE"/>
    <w:rsid w:val="430C2A22"/>
    <w:rsid w:val="450042C0"/>
    <w:rsid w:val="49D532DE"/>
    <w:rsid w:val="50AC6DEA"/>
    <w:rsid w:val="5EE77ABD"/>
    <w:rsid w:val="630661F2"/>
    <w:rsid w:val="651A2300"/>
    <w:rsid w:val="71BD580C"/>
    <w:rsid w:val="79011E9D"/>
    <w:rsid w:val="7D6F77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4">
    <w:name w:val="Default Paragraph Font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te Heading"/>
    <w:basedOn w:val="1"/>
    <w:next w:val="1"/>
    <w:unhideWhenUsed/>
    <w:qFormat/>
    <w:uiPriority w:val="99"/>
    <w:pPr>
      <w:jc w:val="center"/>
    </w:pPr>
  </w:style>
  <w:style w:type="character" w:customStyle="1" w:styleId="5">
    <w:name w:val="Body text|1_"/>
    <w:basedOn w:val="4"/>
    <w:link w:val="6"/>
    <w:qFormat/>
    <w:uiPriority w:val="0"/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6">
    <w:name w:val="Body text|1"/>
    <w:basedOn w:val="1"/>
    <w:link w:val="5"/>
    <w:qFormat/>
    <w:uiPriority w:val="0"/>
    <w:pPr>
      <w:widowControl w:val="0"/>
      <w:shd w:val="clear" w:color="auto" w:fill="auto"/>
      <w:spacing w:line="389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character" w:customStyle="1" w:styleId="7">
    <w:name w:val="Picture caption|1_"/>
    <w:basedOn w:val="4"/>
    <w:link w:val="8"/>
    <w:qFormat/>
    <w:uiPriority w:val="0"/>
    <w:rPr>
      <w:rFonts w:ascii="宋体" w:hAnsi="宋体" w:eastAsia="宋体" w:cs="宋体"/>
      <w:sz w:val="32"/>
      <w:szCs w:val="32"/>
      <w:u w:val="none"/>
      <w:shd w:val="clear" w:color="auto" w:fill="auto"/>
      <w:lang w:val="zh-TW" w:eastAsia="zh-TW" w:bidi="zh-TW"/>
    </w:rPr>
  </w:style>
  <w:style w:type="paragraph" w:customStyle="1" w:styleId="8">
    <w:name w:val="Picture caption|1"/>
    <w:basedOn w:val="1"/>
    <w:link w:val="7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32"/>
      <w:szCs w:val="32"/>
      <w:u w:val="none"/>
      <w:shd w:val="clear" w:color="auto" w:fill="auto"/>
      <w:lang w:val="zh-TW" w:eastAsia="zh-TW" w:bidi="zh-TW"/>
    </w:rPr>
  </w:style>
  <w:style w:type="character" w:customStyle="1" w:styleId="9">
    <w:name w:val="Heading #1|1_"/>
    <w:basedOn w:val="4"/>
    <w:link w:val="10"/>
    <w:qFormat/>
    <w:uiPriority w:val="0"/>
    <w:rPr>
      <w:rFonts w:ascii="宋体" w:hAnsi="宋体" w:eastAsia="宋体" w:cs="宋体"/>
      <w:color w:val="DE2930"/>
      <w:sz w:val="110"/>
      <w:szCs w:val="110"/>
      <w:u w:val="none"/>
      <w:shd w:val="clear" w:color="auto" w:fill="auto"/>
      <w:lang w:val="zh-TW" w:eastAsia="zh-TW" w:bidi="zh-TW"/>
    </w:rPr>
  </w:style>
  <w:style w:type="paragraph" w:customStyle="1" w:styleId="10">
    <w:name w:val="Heading #1|1"/>
    <w:basedOn w:val="1"/>
    <w:link w:val="9"/>
    <w:qFormat/>
    <w:uiPriority w:val="0"/>
    <w:pPr>
      <w:widowControl w:val="0"/>
      <w:shd w:val="clear" w:color="auto" w:fill="auto"/>
      <w:spacing w:after="720" w:line="1440" w:lineRule="exact"/>
      <w:outlineLvl w:val="0"/>
    </w:pPr>
    <w:rPr>
      <w:rFonts w:ascii="宋体" w:hAnsi="宋体" w:eastAsia="宋体" w:cs="宋体"/>
      <w:color w:val="DE2930"/>
      <w:sz w:val="110"/>
      <w:szCs w:val="110"/>
      <w:u w:val="none"/>
      <w:shd w:val="clear" w:color="auto" w:fill="auto"/>
      <w:lang w:val="zh-TW" w:eastAsia="zh-TW" w:bidi="zh-TW"/>
    </w:rPr>
  </w:style>
  <w:style w:type="character" w:customStyle="1" w:styleId="11">
    <w:name w:val="Heading #2|1_"/>
    <w:basedOn w:val="4"/>
    <w:link w:val="12"/>
    <w:qFormat/>
    <w:uiPriority w:val="0"/>
    <w:rPr>
      <w:rFonts w:ascii="宋体" w:hAnsi="宋体" w:eastAsia="宋体" w:cs="宋体"/>
      <w:sz w:val="44"/>
      <w:szCs w:val="44"/>
      <w:u w:val="none"/>
      <w:shd w:val="clear" w:color="auto" w:fill="auto"/>
      <w:lang w:val="zh-TW" w:eastAsia="zh-TW" w:bidi="zh-TW"/>
    </w:rPr>
  </w:style>
  <w:style w:type="paragraph" w:customStyle="1" w:styleId="12">
    <w:name w:val="Heading #2|1"/>
    <w:basedOn w:val="1"/>
    <w:link w:val="11"/>
    <w:qFormat/>
    <w:uiPriority w:val="0"/>
    <w:pPr>
      <w:widowControl w:val="0"/>
      <w:shd w:val="clear" w:color="auto" w:fill="auto"/>
      <w:spacing w:after="1120" w:line="566" w:lineRule="exact"/>
      <w:jc w:val="center"/>
      <w:outlineLvl w:val="1"/>
    </w:pPr>
    <w:rPr>
      <w:rFonts w:ascii="宋体" w:hAnsi="宋体" w:eastAsia="宋体" w:cs="宋体"/>
      <w:sz w:val="44"/>
      <w:szCs w:val="44"/>
      <w:u w:val="none"/>
      <w:shd w:val="clear" w:color="auto" w:fill="auto"/>
      <w:lang w:val="zh-TW" w:eastAsia="zh-TW" w:bidi="zh-TW"/>
    </w:rPr>
  </w:style>
  <w:style w:type="character" w:customStyle="1" w:styleId="13">
    <w:name w:val="Body text|2_"/>
    <w:basedOn w:val="4"/>
    <w:link w:val="14"/>
    <w:qFormat/>
    <w:uiPriority w:val="0"/>
    <w:rPr>
      <w:rFonts w:ascii="宋体" w:hAnsi="宋体" w:eastAsia="宋体" w:cs="宋体"/>
      <w:sz w:val="36"/>
      <w:szCs w:val="36"/>
      <w:u w:val="none"/>
      <w:shd w:val="clear" w:color="auto" w:fill="auto"/>
      <w:lang w:val="zh-TW" w:eastAsia="zh-TW" w:bidi="zh-TW"/>
    </w:rPr>
  </w:style>
  <w:style w:type="paragraph" w:customStyle="1" w:styleId="14">
    <w:name w:val="Body text|2"/>
    <w:basedOn w:val="1"/>
    <w:link w:val="13"/>
    <w:qFormat/>
    <w:uiPriority w:val="0"/>
    <w:pPr>
      <w:widowControl w:val="0"/>
      <w:shd w:val="clear" w:color="auto" w:fill="auto"/>
      <w:spacing w:after="220"/>
    </w:pPr>
    <w:rPr>
      <w:rFonts w:ascii="宋体" w:hAnsi="宋体" w:eastAsia="宋体" w:cs="宋体"/>
      <w:sz w:val="36"/>
      <w:szCs w:val="36"/>
      <w:u w:val="none"/>
      <w:shd w:val="clear" w:color="auto" w:fill="auto"/>
      <w:lang w:val="zh-TW" w:eastAsia="zh-TW" w:bidi="zh-TW"/>
    </w:rPr>
  </w:style>
  <w:style w:type="character" w:customStyle="1" w:styleId="15">
    <w:name w:val="Other|1_"/>
    <w:basedOn w:val="4"/>
    <w:link w:val="16"/>
    <w:qFormat/>
    <w:uiPriority w:val="0"/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16">
    <w:name w:val="Other|1"/>
    <w:basedOn w:val="1"/>
    <w:link w:val="15"/>
    <w:qFormat/>
    <w:uiPriority w:val="0"/>
    <w:pPr>
      <w:widowControl w:val="0"/>
      <w:shd w:val="clear" w:color="auto" w:fill="auto"/>
      <w:spacing w:line="389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1692</Words>
  <Characters>1765</Characters>
  <TotalTime>41</TotalTime>
  <ScaleCrop>false</ScaleCrop>
  <LinksUpToDate>false</LinksUpToDate>
  <CharactersWithSpaces>1885</CharactersWithSpaces>
  <Application>WPS Office_12.1.0.24657_F1E327BC-269C-435d-A152-05C5408002CA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2021-12-13T07:53:00Z</dcterms:created>
  <dc:creator>user</dc:creator>
  <cp:lastModifiedBy>S.</cp:lastModifiedBy>
  <cp:lastPrinted>2025-06-20T06:50:00Z</cp:lastPrinted>
  <dcterms:modified xsi:type="dcterms:W3CDTF">2026-07-09T01:38:21Z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B718D22DBCF144729F9E885CCF3AEDB9_13</vt:lpwstr>
  </property>
  <property fmtid="{D5CDD505-2E9C-101B-9397-08002B2CF9AE}" pid="4" name="KSOTemplateDocerSaveRecord">
    <vt:lpwstr>eyJoZGlkIjoiODk5N2Y1OGYxM2E1ZjkxZDZlMjI1NWJkZGM4NzU2NmUiLCJ1c2VySWQiOiIyOTIxNjU1MjgifQ==</vt:lpwstr>
  </property>
</Properties>
</file>