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b/>
          <w:sz w:val="44"/>
          <w:szCs w:val="44"/>
        </w:rPr>
      </w:pPr>
      <w:r>
        <w:rPr>
          <w:rFonts w:hint="eastAsia"/>
          <w:b/>
          <w:sz w:val="44"/>
          <w:szCs w:val="44"/>
        </w:rPr>
        <w:t>太仓市人民政府</w:t>
      </w:r>
    </w:p>
    <w:p>
      <w:pPr>
        <w:spacing w:line="560" w:lineRule="exact"/>
        <w:rPr>
          <w:rFonts w:hint="eastAsia" w:eastAsia="黑体"/>
          <w:sz w:val="44"/>
          <w:u w:val="thick"/>
        </w:rPr>
      </w:pPr>
      <w:r>
        <w:rPr>
          <w:rFonts w:hint="eastAsia" w:eastAsia="黑体"/>
          <w:sz w:val="44"/>
          <w:u w:val="thick"/>
        </w:rPr>
        <w:t xml:space="preserve">                                      </w:t>
      </w:r>
    </w:p>
    <w:p>
      <w:pPr>
        <w:spacing w:line="560" w:lineRule="exact"/>
        <w:jc w:val="center"/>
        <w:rPr>
          <w:rFonts w:hint="eastAsia" w:ascii="宋体" w:hAnsi="宋体"/>
          <w:b/>
          <w:bCs/>
          <w:sz w:val="36"/>
          <w:szCs w:val="36"/>
        </w:rPr>
      </w:pPr>
    </w:p>
    <w:p>
      <w:pPr>
        <w:spacing w:line="560" w:lineRule="exact"/>
        <w:jc w:val="center"/>
        <w:rPr>
          <w:rFonts w:hint="eastAsia" w:ascii="宋体" w:hAnsi="宋体"/>
          <w:b/>
          <w:bCs/>
          <w:sz w:val="52"/>
          <w:szCs w:val="52"/>
        </w:rPr>
      </w:pPr>
      <w:r>
        <w:rPr>
          <w:rFonts w:hint="eastAsia" w:ascii="宋体" w:hAnsi="宋体"/>
          <w:b/>
          <w:bCs/>
          <w:sz w:val="52"/>
          <w:szCs w:val="52"/>
        </w:rPr>
        <w:t>行政复议决定书</w:t>
      </w:r>
    </w:p>
    <w:p>
      <w:pPr>
        <w:spacing w:line="560" w:lineRule="exact"/>
        <w:jc w:val="right"/>
        <w:rPr>
          <w:rFonts w:hint="eastAsia" w:ascii="仿宋_GB2312" w:hAnsi="宋体" w:eastAsia="仿宋_GB2312"/>
          <w:bCs/>
          <w:sz w:val="32"/>
          <w:szCs w:val="32"/>
        </w:rPr>
      </w:pPr>
    </w:p>
    <w:p>
      <w:pPr>
        <w:topLinePunct/>
        <w:spacing w:line="580" w:lineRule="exact"/>
        <w:ind w:firstLine="4800" w:firstLineChars="1500"/>
        <w:rPr>
          <w:rFonts w:hint="eastAsia" w:ascii="仿宋" w:hAnsi="仿宋" w:eastAsia="仿宋"/>
          <w:bCs/>
          <w:kern w:val="32"/>
          <w:sz w:val="32"/>
          <w:szCs w:val="32"/>
        </w:rPr>
      </w:pPr>
      <w:r>
        <w:rPr>
          <w:rFonts w:hint="eastAsia" w:ascii="仿宋" w:hAnsi="仿宋" w:eastAsia="仿宋"/>
          <w:bCs/>
          <w:kern w:val="32"/>
          <w:sz w:val="32"/>
          <w:szCs w:val="32"/>
        </w:rPr>
        <w:t>〔2019〕太府行复第</w:t>
      </w:r>
      <w:r>
        <w:rPr>
          <w:rFonts w:hint="eastAsia" w:ascii="仿宋" w:hAnsi="仿宋" w:eastAsia="仿宋"/>
          <w:bCs/>
          <w:kern w:val="32"/>
          <w:sz w:val="32"/>
          <w:szCs w:val="32"/>
          <w:lang w:val="en-US" w:eastAsia="zh-CN"/>
        </w:rPr>
        <w:t>20</w:t>
      </w:r>
      <w:r>
        <w:rPr>
          <w:rFonts w:hint="eastAsia" w:ascii="仿宋" w:hAnsi="仿宋" w:eastAsia="仿宋"/>
          <w:bCs/>
          <w:kern w:val="32"/>
          <w:sz w:val="32"/>
          <w:szCs w:val="32"/>
        </w:rPr>
        <w:t>号</w:t>
      </w:r>
    </w:p>
    <w:p>
      <w:pPr>
        <w:topLinePunct/>
        <w:spacing w:line="580" w:lineRule="exact"/>
        <w:ind w:firstLine="4800" w:firstLineChars="1500"/>
        <w:rPr>
          <w:rFonts w:hint="eastAsia" w:ascii="仿宋" w:hAnsi="仿宋" w:eastAsia="仿宋"/>
          <w:bCs/>
          <w:kern w:val="32"/>
          <w:sz w:val="32"/>
          <w:szCs w:val="32"/>
        </w:rPr>
      </w:pP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申请人：</w:t>
      </w:r>
      <w:r>
        <w:rPr>
          <w:rFonts w:hint="eastAsia" w:ascii="仿宋" w:hAnsi="仿宋" w:eastAsia="仿宋"/>
          <w:bCs/>
          <w:color w:val="auto"/>
          <w:kern w:val="32"/>
          <w:sz w:val="32"/>
          <w:szCs w:val="32"/>
          <w:lang w:eastAsia="zh-CN"/>
        </w:rPr>
        <w:t>蔡某某</w:t>
      </w:r>
      <w:r>
        <w:rPr>
          <w:rFonts w:hint="eastAsia" w:ascii="仿宋" w:hAnsi="仿宋" w:eastAsia="仿宋"/>
          <w:bCs/>
          <w:kern w:val="32"/>
          <w:sz w:val="32"/>
          <w:szCs w:val="32"/>
        </w:rPr>
        <w:t>。</w:t>
      </w: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被申请人：太仓市自然资源和规划局。</w:t>
      </w: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申请人对被申请人太仓市住房和城乡建设局的城乡规划管理不服，于2019年2月</w:t>
      </w:r>
      <w:r>
        <w:rPr>
          <w:rFonts w:hint="eastAsia" w:ascii="仿宋" w:hAnsi="仿宋" w:eastAsia="仿宋"/>
          <w:bCs/>
          <w:kern w:val="32"/>
          <w:sz w:val="32"/>
          <w:szCs w:val="32"/>
          <w:lang w:val="en-US" w:eastAsia="zh-CN"/>
        </w:rPr>
        <w:t>27</w:t>
      </w:r>
      <w:r>
        <w:rPr>
          <w:rFonts w:hint="eastAsia" w:ascii="仿宋" w:hAnsi="仿宋" w:eastAsia="仿宋"/>
          <w:bCs/>
          <w:kern w:val="32"/>
          <w:sz w:val="32"/>
          <w:szCs w:val="32"/>
        </w:rPr>
        <w:t>日向本机关申请行政复议，本机关依法予以受理。</w:t>
      </w:r>
      <w:r>
        <w:rPr>
          <w:rFonts w:hint="eastAsia" w:ascii="仿宋" w:hAnsi="仿宋_GB2312" w:eastAsia="仿宋" w:cs="仿宋_GB2312"/>
          <w:kern w:val="32"/>
          <w:sz w:val="32"/>
          <w:szCs w:val="32"/>
        </w:rPr>
        <w:t>因机构改革，</w:t>
      </w:r>
      <w:r>
        <w:rPr>
          <w:rFonts w:hint="eastAsia" w:ascii="仿宋" w:hAnsi="仿宋" w:eastAsia="仿宋"/>
          <w:bCs/>
          <w:kern w:val="32"/>
          <w:sz w:val="32"/>
          <w:szCs w:val="32"/>
        </w:rPr>
        <w:t>太仓市住房和城乡建设局的城乡规划管理职责划入太仓市自然资源和规划局，本机关依法将被申请人变更为太仓市自然资源和规划局。现已审理终结。</w:t>
      </w: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申请人请求：</w:t>
      </w:r>
      <w:r>
        <w:rPr>
          <w:rFonts w:hint="eastAsia" w:ascii="仿宋" w:hAnsi="仿宋" w:eastAsia="仿宋"/>
          <w:bCs/>
          <w:kern w:val="32"/>
          <w:sz w:val="32"/>
          <w:szCs w:val="32"/>
          <w:lang w:eastAsia="zh-CN"/>
        </w:rPr>
        <w:t>请求对雅鹿臻园</w:t>
      </w:r>
      <w:r>
        <w:rPr>
          <w:rFonts w:hint="eastAsia" w:ascii="仿宋" w:hAnsi="仿宋" w:eastAsia="仿宋"/>
          <w:bCs/>
          <w:kern w:val="32"/>
          <w:sz w:val="32"/>
          <w:szCs w:val="32"/>
          <w:lang w:val="en-US" w:eastAsia="zh-CN"/>
        </w:rPr>
        <w:t>XX幢XX室2019年2月18日的违建认定予以撤销或暂不执行待以后房屋交易时再恢复原貌</w:t>
      </w:r>
      <w:r>
        <w:rPr>
          <w:rFonts w:hint="eastAsia" w:ascii="仿宋" w:hAnsi="仿宋" w:eastAsia="仿宋"/>
          <w:bCs/>
          <w:kern w:val="32"/>
          <w:sz w:val="32"/>
          <w:szCs w:val="32"/>
        </w:rPr>
        <w:t>。</w:t>
      </w:r>
    </w:p>
    <w:p>
      <w:pPr>
        <w:pStyle w:val="8"/>
        <w:topLinePunct/>
        <w:autoSpaceDE/>
        <w:autoSpaceDN/>
        <w:adjustRightInd/>
        <w:spacing w:line="580" w:lineRule="exact"/>
        <w:ind w:firstLine="640" w:firstLineChars="200"/>
        <w:jc w:val="both"/>
        <w:rPr>
          <w:rFonts w:hint="eastAsia" w:ascii="仿宋" w:eastAsia="仿宋" w:cs="Times New Roman"/>
          <w:kern w:val="32"/>
          <w:sz w:val="32"/>
          <w:szCs w:val="14"/>
        </w:rPr>
      </w:pPr>
      <w:r>
        <w:rPr>
          <w:rFonts w:hint="eastAsia" w:ascii="仿宋" w:hAnsi="仿宋" w:eastAsia="仿宋"/>
          <w:bCs/>
          <w:kern w:val="32"/>
          <w:sz w:val="32"/>
          <w:szCs w:val="32"/>
        </w:rPr>
        <w:t>申请人称：</w:t>
      </w:r>
      <w:r>
        <w:rPr>
          <w:rFonts w:hint="eastAsia" w:ascii="仿宋" w:hAnsi="仿宋" w:eastAsia="仿宋"/>
          <w:bCs/>
          <w:kern w:val="32"/>
          <w:sz w:val="32"/>
          <w:szCs w:val="32"/>
          <w:lang w:eastAsia="zh-CN"/>
        </w:rPr>
        <w:t>本人于</w:t>
      </w:r>
      <w:r>
        <w:rPr>
          <w:rFonts w:hint="eastAsia" w:ascii="仿宋" w:hAnsi="仿宋" w:eastAsia="仿宋"/>
          <w:bCs/>
          <w:kern w:val="32"/>
          <w:sz w:val="32"/>
          <w:szCs w:val="32"/>
          <w:lang w:val="en-US" w:eastAsia="zh-CN"/>
        </w:rPr>
        <w:t>2017年11月20日和开发商办理完成雅鹿臻园联排别墅XX幢XX室交房手续，于2017年12月20日开始装修，并于2018年5月我和雅鹿联排别墅大部分业主因不明所属违建装修的认定范畴，特到太仓市信访局和住建局了解相关政策。装修前我参考太仓情况相同的小区以及本小区一期的情况，和购房时开发商宣传单，把宣传赠送部分进行搭建。本人于2019年2月25日上午接太仓市城管局电话通知，要求拆除我于2018年已经搭建结束的部分。</w:t>
      </w:r>
      <w:r>
        <w:rPr>
          <w:rFonts w:hint="eastAsia" w:ascii="仿宋" w:eastAsia="仿宋" w:cs="Times New Roman"/>
          <w:kern w:val="32"/>
          <w:sz w:val="32"/>
          <w:szCs w:val="14"/>
        </w:rPr>
        <w:t xml:space="preserve"> </w:t>
      </w: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申请人提供的证据材料有：</w:t>
      </w:r>
    </w:p>
    <w:p>
      <w:pPr>
        <w:topLinePunct/>
        <w:spacing w:line="580" w:lineRule="exact"/>
        <w:ind w:firstLine="640" w:firstLineChars="200"/>
        <w:rPr>
          <w:rFonts w:hint="eastAsia" w:ascii="仿宋" w:hAnsi="仿宋" w:eastAsia="仿宋" w:cs="Arial"/>
          <w:kern w:val="32"/>
          <w:sz w:val="32"/>
          <w:szCs w:val="32"/>
        </w:rPr>
      </w:pPr>
      <w:r>
        <w:rPr>
          <w:rFonts w:hint="eastAsia" w:ascii="仿宋" w:hAnsi="仿宋" w:eastAsia="仿宋" w:cs="Arial"/>
          <w:kern w:val="32"/>
          <w:sz w:val="32"/>
          <w:szCs w:val="32"/>
        </w:rPr>
        <w:t>1、在建建设规划认定书；</w:t>
      </w:r>
    </w:p>
    <w:p>
      <w:pPr>
        <w:topLinePunct/>
        <w:spacing w:line="580" w:lineRule="exact"/>
        <w:ind w:firstLine="480" w:firstLineChars="150"/>
        <w:rPr>
          <w:rFonts w:hint="eastAsia" w:ascii="仿宋" w:hAnsi="仿宋" w:eastAsia="仿宋" w:cs="仿宋"/>
          <w:kern w:val="32"/>
          <w:sz w:val="32"/>
          <w:szCs w:val="32"/>
          <w:lang w:eastAsia="zh-CN"/>
        </w:rPr>
      </w:pPr>
      <w:r>
        <w:rPr>
          <w:rFonts w:hint="eastAsia" w:ascii="仿宋" w:hAnsi="仿宋" w:eastAsia="仿宋" w:cs="Arial"/>
          <w:kern w:val="32"/>
          <w:sz w:val="32"/>
          <w:szCs w:val="32"/>
        </w:rPr>
        <w:t xml:space="preserve"> 2、</w:t>
      </w:r>
      <w:r>
        <w:rPr>
          <w:rFonts w:hint="eastAsia" w:ascii="仿宋" w:hAnsi="仿宋" w:eastAsia="仿宋" w:cs="仿宋"/>
          <w:kern w:val="32"/>
          <w:sz w:val="32"/>
          <w:szCs w:val="32"/>
        </w:rPr>
        <w:t>责令改正通知书</w:t>
      </w:r>
      <w:r>
        <w:rPr>
          <w:rFonts w:hint="eastAsia" w:ascii="仿宋" w:hAnsi="仿宋" w:eastAsia="仿宋" w:cs="仿宋"/>
          <w:kern w:val="32"/>
          <w:sz w:val="32"/>
          <w:szCs w:val="32"/>
          <w:lang w:eastAsia="zh-CN"/>
        </w:rPr>
        <w:t>；</w:t>
      </w:r>
    </w:p>
    <w:p>
      <w:pPr>
        <w:topLinePunct/>
        <w:spacing w:line="580" w:lineRule="exact"/>
        <w:ind w:firstLine="640" w:firstLineChars="200"/>
        <w:rPr>
          <w:rFonts w:hint="eastAsia" w:ascii="仿宋" w:hAnsi="仿宋" w:eastAsia="仿宋" w:cs="仿宋"/>
          <w:kern w:val="32"/>
          <w:sz w:val="32"/>
          <w:szCs w:val="32"/>
          <w:lang w:val="en-US" w:eastAsia="zh-CN"/>
        </w:rPr>
      </w:pPr>
      <w:r>
        <w:rPr>
          <w:rFonts w:hint="eastAsia" w:ascii="仿宋" w:hAnsi="仿宋" w:eastAsia="仿宋" w:cs="仿宋"/>
          <w:kern w:val="32"/>
          <w:sz w:val="32"/>
          <w:szCs w:val="32"/>
          <w:lang w:val="en-US" w:eastAsia="zh-CN"/>
        </w:rPr>
        <w:t>3、广告宣传单上户型图；</w:t>
      </w:r>
    </w:p>
    <w:p>
      <w:pPr>
        <w:topLinePunct/>
        <w:spacing w:line="580" w:lineRule="exact"/>
        <w:ind w:firstLine="640" w:firstLineChars="200"/>
        <w:rPr>
          <w:rFonts w:hint="eastAsia" w:ascii="仿宋" w:hAnsi="仿宋" w:eastAsia="仿宋" w:cs="仿宋"/>
          <w:kern w:val="32"/>
          <w:sz w:val="32"/>
          <w:szCs w:val="32"/>
        </w:rPr>
      </w:pPr>
      <w:r>
        <w:rPr>
          <w:rFonts w:hint="eastAsia" w:ascii="仿宋" w:hAnsi="仿宋" w:eastAsia="仿宋" w:cs="仿宋"/>
          <w:kern w:val="32"/>
          <w:sz w:val="32"/>
          <w:szCs w:val="32"/>
          <w:lang w:val="en-US" w:eastAsia="zh-CN"/>
        </w:rPr>
        <w:t>4、商品房买卖合同封面</w:t>
      </w:r>
      <w:r>
        <w:rPr>
          <w:rFonts w:hint="eastAsia" w:ascii="仿宋" w:hAnsi="仿宋" w:eastAsia="仿宋" w:cs="仿宋"/>
          <w:kern w:val="32"/>
          <w:sz w:val="32"/>
          <w:szCs w:val="32"/>
          <w:lang w:eastAsia="zh-CN"/>
        </w:rPr>
        <w:t>。</w:t>
      </w:r>
    </w:p>
    <w:p>
      <w:pPr>
        <w:pStyle w:val="8"/>
        <w:topLinePunct/>
        <w:autoSpaceDE/>
        <w:autoSpaceDN/>
        <w:adjustRightInd/>
        <w:spacing w:line="580" w:lineRule="exact"/>
        <w:ind w:firstLine="656" w:firstLineChars="205"/>
        <w:jc w:val="both"/>
        <w:rPr>
          <w:rFonts w:hint="eastAsia" w:ascii="仿宋" w:hAnsi="仿宋_GB2312" w:eastAsia="仿宋" w:cs="仿宋_GB2312"/>
          <w:kern w:val="32"/>
          <w:sz w:val="32"/>
          <w:szCs w:val="32"/>
        </w:rPr>
      </w:pPr>
      <w:r>
        <w:rPr>
          <w:rFonts w:hint="eastAsia" w:ascii="仿宋" w:hAnsi="仿宋" w:eastAsia="仿宋"/>
          <w:bCs/>
          <w:kern w:val="32"/>
          <w:sz w:val="32"/>
          <w:szCs w:val="32"/>
        </w:rPr>
        <w:t>被申请人答复称：</w:t>
      </w:r>
      <w:r>
        <w:rPr>
          <w:rFonts w:hint="eastAsia" w:ascii="仿宋" w:hAnsi="仿宋" w:eastAsia="仿宋" w:cs="Arial"/>
          <w:kern w:val="32"/>
          <w:sz w:val="32"/>
          <w:szCs w:val="32"/>
          <w:lang w:val="en-US" w:eastAsia="zh-CN" w:bidi="ar-SA"/>
        </w:rPr>
        <w:t>根据《城乡规划法》第四十条之规定，申请人搭建建筑物、构筑物应当取得城市规划主管部门的许可文件，但经查询，申请人搭建案涉建筑物确实未至被申请人处办理相关规划手续，被申请人的认定书内容表述是合理合法的，不存在应予撤销的情形。案涉认定书不具有强制执行力，对申请人的权利义务不产生实际影响。对申请人的权利义务产生实际影响的并非案涉认定书，案涉《认定书》仅是对申请人搭建建筑物是否至被申请人处办理规划手续的说明，不具有强制执行力，对申请人的权利义务并不产生实际影响。综上所述，被申请人认为被申请人作出的认定书是合理合法的，不存在应予撤销的情形，申请人的行政复议申请于法无据，请求复议机关依法驳回申请人的行政复议申请。</w:t>
      </w: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被申请人提供的证据有：</w:t>
      </w:r>
    </w:p>
    <w:p>
      <w:pPr>
        <w:pStyle w:val="8"/>
        <w:topLinePunct/>
        <w:autoSpaceDE/>
        <w:autoSpaceDN/>
        <w:adjustRightInd/>
        <w:spacing w:line="580" w:lineRule="exact"/>
        <w:ind w:firstLine="656" w:firstLineChars="205"/>
        <w:jc w:val="both"/>
        <w:rPr>
          <w:rFonts w:hint="eastAsia" w:ascii="仿宋" w:hAnsi="仿宋" w:eastAsia="仿宋" w:cs="Arial"/>
          <w:kern w:val="32"/>
          <w:sz w:val="32"/>
          <w:szCs w:val="32"/>
          <w:lang w:val="en-US" w:eastAsia="zh-CN" w:bidi="ar-SA"/>
        </w:rPr>
      </w:pPr>
      <w:r>
        <w:rPr>
          <w:rFonts w:hint="eastAsia" w:ascii="仿宋" w:hAnsi="仿宋" w:eastAsia="仿宋" w:cs="Arial"/>
          <w:kern w:val="32"/>
          <w:sz w:val="32"/>
          <w:szCs w:val="32"/>
          <w:lang w:val="en-US" w:eastAsia="zh-CN" w:bidi="ar-SA"/>
        </w:rPr>
        <w:t>1、现场检查笔录及照片；</w:t>
      </w:r>
    </w:p>
    <w:p>
      <w:pPr>
        <w:pStyle w:val="8"/>
        <w:topLinePunct/>
        <w:autoSpaceDE/>
        <w:autoSpaceDN/>
        <w:adjustRightInd/>
        <w:spacing w:line="580" w:lineRule="exact"/>
        <w:ind w:firstLine="656" w:firstLineChars="205"/>
        <w:jc w:val="both"/>
        <w:rPr>
          <w:rFonts w:hint="eastAsia" w:ascii="仿宋" w:hAnsi="仿宋" w:eastAsia="仿宋" w:cs="Arial"/>
          <w:kern w:val="32"/>
          <w:sz w:val="32"/>
          <w:szCs w:val="32"/>
          <w:lang w:val="en-US" w:eastAsia="zh-CN" w:bidi="ar-SA"/>
        </w:rPr>
      </w:pPr>
      <w:r>
        <w:rPr>
          <w:rFonts w:hint="eastAsia" w:ascii="仿宋" w:hAnsi="仿宋" w:eastAsia="仿宋" w:cs="Arial"/>
          <w:kern w:val="32"/>
          <w:sz w:val="32"/>
          <w:szCs w:val="32"/>
          <w:lang w:val="en-US" w:eastAsia="zh-CN" w:bidi="ar-SA"/>
        </w:rPr>
        <w:t>2、停工(核查)通知书及送达回证；</w:t>
      </w:r>
    </w:p>
    <w:p>
      <w:pPr>
        <w:pStyle w:val="8"/>
        <w:topLinePunct/>
        <w:autoSpaceDE/>
        <w:autoSpaceDN/>
        <w:adjustRightInd/>
        <w:spacing w:line="580" w:lineRule="exact"/>
        <w:ind w:firstLine="656" w:firstLineChars="205"/>
        <w:jc w:val="both"/>
        <w:rPr>
          <w:rFonts w:hint="eastAsia" w:ascii="仿宋" w:hAnsi="仿宋" w:eastAsia="仿宋" w:cs="Arial"/>
          <w:kern w:val="32"/>
          <w:sz w:val="32"/>
          <w:szCs w:val="32"/>
          <w:lang w:val="en-US" w:eastAsia="zh-CN" w:bidi="ar-SA"/>
        </w:rPr>
      </w:pPr>
      <w:r>
        <w:rPr>
          <w:rFonts w:hint="eastAsia" w:ascii="仿宋" w:hAnsi="仿宋" w:eastAsia="仿宋" w:cs="Arial"/>
          <w:kern w:val="32"/>
          <w:sz w:val="32"/>
          <w:szCs w:val="32"/>
          <w:lang w:val="en-US" w:eastAsia="zh-CN" w:bidi="ar-SA"/>
        </w:rPr>
        <w:t>3、商品房买卖合同概要、规划许可办理查询记录；</w:t>
      </w:r>
    </w:p>
    <w:p>
      <w:pPr>
        <w:pStyle w:val="8"/>
        <w:topLinePunct/>
        <w:autoSpaceDE/>
        <w:autoSpaceDN/>
        <w:adjustRightInd/>
        <w:spacing w:line="580" w:lineRule="exact"/>
        <w:ind w:firstLine="656" w:firstLineChars="205"/>
        <w:jc w:val="both"/>
        <w:rPr>
          <w:rFonts w:hint="eastAsia" w:ascii="仿宋" w:hAnsi="仿宋" w:eastAsia="仿宋" w:cs="Arial"/>
          <w:kern w:val="32"/>
          <w:sz w:val="32"/>
          <w:szCs w:val="32"/>
          <w:lang w:val="en-US" w:eastAsia="zh-CN" w:bidi="ar-SA"/>
        </w:rPr>
      </w:pPr>
      <w:r>
        <w:rPr>
          <w:rFonts w:hint="eastAsia" w:ascii="仿宋" w:hAnsi="仿宋" w:eastAsia="仿宋" w:cs="Arial"/>
          <w:kern w:val="32"/>
          <w:sz w:val="32"/>
          <w:szCs w:val="32"/>
          <w:lang w:val="en-US" w:eastAsia="zh-CN" w:bidi="ar-SA"/>
        </w:rPr>
        <w:t>4、在建建设规划认定书。</w:t>
      </w:r>
    </w:p>
    <w:p>
      <w:pPr>
        <w:topLinePunct/>
        <w:spacing w:line="580" w:lineRule="exact"/>
        <w:ind w:firstLine="640" w:firstLineChars="200"/>
        <w:rPr>
          <w:rFonts w:hint="eastAsia" w:ascii="仿宋" w:eastAsia="仿宋"/>
          <w:kern w:val="32"/>
          <w:sz w:val="32"/>
        </w:rPr>
      </w:pPr>
      <w:r>
        <w:rPr>
          <w:rFonts w:hint="eastAsia" w:ascii="仿宋" w:hAnsi="仿宋" w:eastAsia="仿宋"/>
          <w:bCs/>
          <w:color w:val="auto"/>
          <w:kern w:val="32"/>
          <w:sz w:val="32"/>
          <w:szCs w:val="32"/>
        </w:rPr>
        <w:t>经审</w:t>
      </w:r>
      <w:r>
        <w:rPr>
          <w:rFonts w:hint="eastAsia" w:ascii="仿宋" w:hAnsi="仿宋" w:eastAsia="仿宋"/>
          <w:bCs/>
          <w:color w:val="auto"/>
          <w:kern w:val="32"/>
          <w:sz w:val="32"/>
          <w:szCs w:val="32"/>
          <w:lang w:eastAsia="zh-CN"/>
        </w:rPr>
        <w:t>理</w:t>
      </w:r>
      <w:r>
        <w:rPr>
          <w:rFonts w:hint="eastAsia" w:ascii="仿宋" w:hAnsi="仿宋" w:eastAsia="仿宋"/>
          <w:bCs/>
          <w:color w:val="auto"/>
          <w:kern w:val="32"/>
          <w:sz w:val="32"/>
          <w:szCs w:val="32"/>
        </w:rPr>
        <w:t>查明：</w:t>
      </w:r>
      <w:r>
        <w:rPr>
          <w:rFonts w:hint="eastAsia" w:ascii="仿宋" w:hAnsi="仿宋" w:eastAsia="仿宋"/>
          <w:bCs/>
          <w:color w:val="auto"/>
          <w:kern w:val="32"/>
          <w:sz w:val="32"/>
          <w:szCs w:val="32"/>
          <w:lang w:eastAsia="zh-CN"/>
        </w:rPr>
        <w:t>申请人为雅鹿臻园</w:t>
      </w:r>
      <w:r>
        <w:rPr>
          <w:rFonts w:hint="eastAsia" w:ascii="仿宋" w:hAnsi="仿宋" w:eastAsia="仿宋"/>
          <w:bCs/>
          <w:color w:val="auto"/>
          <w:kern w:val="32"/>
          <w:sz w:val="32"/>
          <w:szCs w:val="32"/>
          <w:lang w:val="en-US" w:eastAsia="zh-CN"/>
        </w:rPr>
        <w:t>XX幢XX室所有权人。2018年6月14日，太仓市城市管理行政执法局发现雅鹿臻园XX幢XX室存在涉嫌未经批准擅自搭建的行为，后出具《停工（核查）通知</w:t>
      </w:r>
      <w:bookmarkStart w:id="0" w:name="_GoBack"/>
      <w:bookmarkEnd w:id="0"/>
      <w:r>
        <w:rPr>
          <w:rFonts w:hint="eastAsia" w:ascii="仿宋" w:hAnsi="仿宋" w:eastAsia="仿宋"/>
          <w:bCs/>
          <w:color w:val="auto"/>
          <w:kern w:val="32"/>
          <w:sz w:val="32"/>
          <w:szCs w:val="32"/>
          <w:lang w:val="en-US" w:eastAsia="zh-CN"/>
        </w:rPr>
        <w:t>书》，要求立即停止该搭建行为。</w:t>
      </w:r>
      <w:r>
        <w:rPr>
          <w:rFonts w:hint="eastAsia" w:ascii="仿宋" w:hAnsi="仿宋" w:eastAsia="仿宋"/>
          <w:bCs/>
          <w:color w:val="auto"/>
          <w:kern w:val="32"/>
          <w:sz w:val="32"/>
          <w:szCs w:val="32"/>
        </w:rPr>
        <w:t>2019年</w:t>
      </w:r>
      <w:r>
        <w:rPr>
          <w:rFonts w:hint="eastAsia" w:ascii="仿宋" w:hAnsi="仿宋" w:eastAsia="仿宋"/>
          <w:bCs/>
          <w:color w:val="auto"/>
          <w:kern w:val="32"/>
          <w:sz w:val="32"/>
          <w:szCs w:val="32"/>
          <w:lang w:val="en-US" w:eastAsia="zh-CN"/>
        </w:rPr>
        <w:t>2</w:t>
      </w:r>
      <w:r>
        <w:rPr>
          <w:rFonts w:hint="eastAsia" w:ascii="仿宋" w:hAnsi="仿宋" w:eastAsia="仿宋"/>
          <w:bCs/>
          <w:color w:val="auto"/>
          <w:kern w:val="32"/>
          <w:sz w:val="32"/>
          <w:szCs w:val="32"/>
        </w:rPr>
        <w:t>月</w:t>
      </w:r>
      <w:r>
        <w:rPr>
          <w:rFonts w:hint="eastAsia" w:ascii="仿宋" w:hAnsi="仿宋" w:eastAsia="仿宋"/>
          <w:bCs/>
          <w:color w:val="auto"/>
          <w:kern w:val="32"/>
          <w:sz w:val="32"/>
          <w:szCs w:val="32"/>
          <w:lang w:val="en-US" w:eastAsia="zh-CN"/>
        </w:rPr>
        <w:t>12</w:t>
      </w:r>
      <w:r>
        <w:rPr>
          <w:rFonts w:hint="eastAsia" w:ascii="仿宋" w:hAnsi="仿宋" w:eastAsia="仿宋"/>
          <w:bCs/>
          <w:color w:val="auto"/>
          <w:kern w:val="32"/>
          <w:sz w:val="32"/>
          <w:szCs w:val="32"/>
        </w:rPr>
        <w:t>日，太仓市城市管理行政执法局执法人员在检查中发现，太仓市雅鹿臻园</w:t>
      </w:r>
      <w:r>
        <w:rPr>
          <w:rFonts w:hint="eastAsia" w:ascii="仿宋" w:hAnsi="仿宋" w:eastAsia="仿宋"/>
          <w:bCs/>
          <w:color w:val="auto"/>
          <w:kern w:val="32"/>
          <w:sz w:val="32"/>
          <w:szCs w:val="32"/>
          <w:lang w:val="en-US" w:eastAsia="zh-CN"/>
        </w:rPr>
        <w:t>XX幢XX室</w:t>
      </w:r>
      <w:r>
        <w:rPr>
          <w:rFonts w:hint="eastAsia" w:ascii="仿宋" w:hAnsi="仿宋" w:eastAsia="仿宋"/>
          <w:bCs/>
          <w:color w:val="auto"/>
          <w:kern w:val="32"/>
          <w:sz w:val="32"/>
          <w:szCs w:val="32"/>
          <w:lang w:eastAsia="zh-CN"/>
        </w:rPr>
        <w:t>在一楼南侧院内、</w:t>
      </w:r>
      <w:r>
        <w:rPr>
          <w:rFonts w:hint="eastAsia" w:ascii="仿宋" w:hAnsi="仿宋" w:eastAsia="仿宋"/>
          <w:bCs/>
          <w:color w:val="auto"/>
          <w:kern w:val="32"/>
          <w:sz w:val="32"/>
          <w:szCs w:val="32"/>
        </w:rPr>
        <w:t>二楼</w:t>
      </w:r>
      <w:r>
        <w:rPr>
          <w:rFonts w:hint="eastAsia" w:ascii="仿宋" w:hAnsi="仿宋" w:eastAsia="仿宋"/>
          <w:bCs/>
          <w:color w:val="auto"/>
          <w:kern w:val="32"/>
          <w:sz w:val="32"/>
          <w:szCs w:val="32"/>
          <w:lang w:eastAsia="zh-CN"/>
        </w:rPr>
        <w:t>北侧露台、</w:t>
      </w:r>
      <w:r>
        <w:rPr>
          <w:rFonts w:hint="eastAsia" w:ascii="仿宋" w:hAnsi="仿宋" w:eastAsia="仿宋"/>
          <w:bCs/>
          <w:color w:val="auto"/>
          <w:kern w:val="32"/>
          <w:sz w:val="32"/>
          <w:szCs w:val="32"/>
        </w:rPr>
        <w:t>三楼</w:t>
      </w:r>
      <w:r>
        <w:rPr>
          <w:rFonts w:hint="eastAsia" w:ascii="仿宋" w:hAnsi="仿宋" w:eastAsia="仿宋"/>
          <w:bCs/>
          <w:color w:val="auto"/>
          <w:kern w:val="32"/>
          <w:sz w:val="32"/>
          <w:szCs w:val="32"/>
          <w:lang w:eastAsia="zh-CN"/>
        </w:rPr>
        <w:t>北</w:t>
      </w:r>
      <w:r>
        <w:rPr>
          <w:rFonts w:hint="eastAsia" w:ascii="仿宋" w:hAnsi="仿宋" w:eastAsia="仿宋"/>
          <w:bCs/>
          <w:color w:val="auto"/>
          <w:kern w:val="32"/>
          <w:sz w:val="32"/>
          <w:szCs w:val="32"/>
        </w:rPr>
        <w:t>侧</w:t>
      </w:r>
      <w:r>
        <w:rPr>
          <w:rFonts w:hint="eastAsia" w:ascii="仿宋" w:hAnsi="仿宋" w:eastAsia="仿宋"/>
          <w:bCs/>
          <w:color w:val="auto"/>
          <w:kern w:val="32"/>
          <w:sz w:val="32"/>
          <w:szCs w:val="32"/>
          <w:lang w:eastAsia="zh-CN"/>
        </w:rPr>
        <w:t>、东侧</w:t>
      </w:r>
      <w:r>
        <w:rPr>
          <w:rFonts w:hint="eastAsia" w:ascii="仿宋" w:hAnsi="仿宋" w:eastAsia="仿宋"/>
          <w:bCs/>
          <w:color w:val="auto"/>
          <w:kern w:val="32"/>
          <w:sz w:val="32"/>
          <w:szCs w:val="32"/>
        </w:rPr>
        <w:t>，</w:t>
      </w:r>
      <w:r>
        <w:rPr>
          <w:rFonts w:hint="eastAsia" w:ascii="仿宋" w:hAnsi="仿宋" w:eastAsia="仿宋"/>
          <w:bCs/>
          <w:color w:val="auto"/>
          <w:kern w:val="32"/>
          <w:sz w:val="32"/>
          <w:szCs w:val="32"/>
          <w:lang w:eastAsia="zh-CN"/>
        </w:rPr>
        <w:t>存在</w:t>
      </w:r>
      <w:r>
        <w:rPr>
          <w:rFonts w:hint="eastAsia" w:ascii="仿宋" w:hAnsi="仿宋" w:eastAsia="仿宋"/>
          <w:bCs/>
          <w:color w:val="auto"/>
          <w:kern w:val="32"/>
          <w:sz w:val="32"/>
          <w:szCs w:val="32"/>
        </w:rPr>
        <w:t>用</w:t>
      </w:r>
      <w:r>
        <w:rPr>
          <w:rFonts w:hint="eastAsia" w:ascii="仿宋" w:hAnsi="仿宋" w:eastAsia="仿宋"/>
          <w:bCs/>
          <w:color w:val="auto"/>
          <w:kern w:val="32"/>
          <w:sz w:val="32"/>
          <w:szCs w:val="32"/>
          <w:lang w:eastAsia="zh-CN"/>
        </w:rPr>
        <w:t>现浇、钢架、</w:t>
      </w:r>
      <w:r>
        <w:rPr>
          <w:rFonts w:hint="eastAsia" w:ascii="仿宋" w:hAnsi="仿宋" w:eastAsia="仿宋"/>
          <w:bCs/>
          <w:color w:val="auto"/>
          <w:kern w:val="32"/>
          <w:sz w:val="32"/>
          <w:szCs w:val="32"/>
        </w:rPr>
        <w:t>铝合金等材料</w:t>
      </w:r>
      <w:r>
        <w:rPr>
          <w:rFonts w:hint="eastAsia" w:ascii="仿宋" w:hAnsi="仿宋" w:eastAsia="仿宋"/>
          <w:bCs/>
          <w:color w:val="auto"/>
          <w:kern w:val="32"/>
          <w:sz w:val="32"/>
          <w:szCs w:val="32"/>
          <w:lang w:eastAsia="zh-CN"/>
        </w:rPr>
        <w:t>进行</w:t>
      </w:r>
      <w:r>
        <w:rPr>
          <w:rFonts w:hint="eastAsia" w:ascii="仿宋" w:hAnsi="仿宋" w:eastAsia="仿宋"/>
          <w:bCs/>
          <w:color w:val="auto"/>
          <w:kern w:val="32"/>
          <w:sz w:val="32"/>
          <w:szCs w:val="32"/>
        </w:rPr>
        <w:t>搭建</w:t>
      </w:r>
      <w:r>
        <w:rPr>
          <w:rFonts w:hint="eastAsia" w:ascii="仿宋" w:hAnsi="仿宋" w:eastAsia="仿宋"/>
          <w:bCs/>
          <w:color w:val="auto"/>
          <w:kern w:val="32"/>
          <w:sz w:val="32"/>
          <w:szCs w:val="32"/>
          <w:lang w:eastAsia="zh-CN"/>
        </w:rPr>
        <w:t>的情况</w:t>
      </w:r>
      <w:r>
        <w:rPr>
          <w:rFonts w:hint="eastAsia" w:ascii="仿宋" w:hAnsi="仿宋" w:eastAsia="仿宋"/>
          <w:bCs/>
          <w:color w:val="auto"/>
          <w:kern w:val="32"/>
          <w:sz w:val="32"/>
          <w:szCs w:val="32"/>
        </w:rPr>
        <w:t>，面积合计</w:t>
      </w:r>
      <w:r>
        <w:rPr>
          <w:rFonts w:hint="eastAsia" w:ascii="仿宋" w:hAnsi="仿宋" w:eastAsia="仿宋"/>
          <w:bCs/>
          <w:color w:val="auto"/>
          <w:kern w:val="32"/>
          <w:sz w:val="32"/>
          <w:szCs w:val="32"/>
          <w:lang w:val="en-US" w:eastAsia="zh-CN"/>
        </w:rPr>
        <w:t>32.56</w:t>
      </w:r>
      <w:r>
        <w:rPr>
          <w:rFonts w:hint="eastAsia" w:ascii="仿宋" w:hAnsi="仿宋" w:eastAsia="仿宋"/>
          <w:bCs/>
          <w:color w:val="auto"/>
          <w:kern w:val="32"/>
          <w:sz w:val="32"/>
          <w:szCs w:val="32"/>
        </w:rPr>
        <w:t>平方米。</w:t>
      </w:r>
      <w:r>
        <w:rPr>
          <w:rFonts w:hint="eastAsia" w:ascii="仿宋" w:hAnsi="仿宋" w:eastAsia="仿宋"/>
          <w:bCs/>
          <w:color w:val="auto"/>
          <w:kern w:val="32"/>
          <w:sz w:val="32"/>
          <w:szCs w:val="32"/>
          <w:lang w:val="en-US" w:eastAsia="zh-CN"/>
        </w:rPr>
        <w:t>2019年2</w:t>
      </w:r>
      <w:r>
        <w:rPr>
          <w:rFonts w:hint="eastAsia" w:ascii="仿宋" w:hAnsi="仿宋" w:eastAsia="仿宋"/>
          <w:bCs/>
          <w:kern w:val="32"/>
          <w:sz w:val="32"/>
          <w:szCs w:val="32"/>
          <w:lang w:val="en-US" w:eastAsia="zh-CN"/>
        </w:rPr>
        <w:t>月18日，</w:t>
      </w:r>
      <w:r>
        <w:rPr>
          <w:rFonts w:hint="eastAsia" w:ascii="仿宋" w:hAnsi="仿宋" w:eastAsia="仿宋"/>
          <w:bCs/>
          <w:kern w:val="32"/>
          <w:sz w:val="32"/>
          <w:szCs w:val="32"/>
        </w:rPr>
        <w:t>太仓市城市管理行政执法局</w:t>
      </w:r>
      <w:r>
        <w:rPr>
          <w:rFonts w:hint="eastAsia" w:ascii="仿宋" w:hAnsi="仿宋" w:eastAsia="仿宋"/>
          <w:bCs/>
          <w:kern w:val="32"/>
          <w:sz w:val="32"/>
          <w:szCs w:val="32"/>
          <w:lang w:eastAsia="zh-CN"/>
        </w:rPr>
        <w:t>将相关情况报太仓市住房和城乡建设局，同日</w:t>
      </w:r>
      <w:r>
        <w:rPr>
          <w:rFonts w:hint="eastAsia" w:ascii="仿宋" w:hAnsi="仿宋" w:eastAsia="仿宋"/>
          <w:bCs/>
          <w:kern w:val="32"/>
          <w:sz w:val="32"/>
          <w:szCs w:val="32"/>
        </w:rPr>
        <w:t>，</w:t>
      </w:r>
      <w:r>
        <w:rPr>
          <w:rFonts w:hint="eastAsia" w:ascii="仿宋" w:hAnsi="仿宋" w:eastAsia="仿宋"/>
          <w:bCs/>
          <w:kern w:val="32"/>
          <w:sz w:val="32"/>
          <w:szCs w:val="32"/>
          <w:lang w:eastAsia="zh-CN"/>
        </w:rPr>
        <w:t>太仓市住房和城乡建设局</w:t>
      </w:r>
      <w:r>
        <w:rPr>
          <w:rFonts w:hint="eastAsia" w:ascii="仿宋" w:hAnsi="仿宋" w:eastAsia="仿宋"/>
          <w:bCs/>
          <w:kern w:val="32"/>
          <w:sz w:val="32"/>
          <w:szCs w:val="32"/>
        </w:rPr>
        <w:t>作出《在建建设规划认定书》</w:t>
      </w:r>
      <w:r>
        <w:rPr>
          <w:rFonts w:hint="eastAsia" w:ascii="仿宋" w:hAnsi="仿宋" w:eastAsia="仿宋"/>
          <w:bCs/>
          <w:kern w:val="32"/>
          <w:sz w:val="32"/>
          <w:szCs w:val="32"/>
          <w:lang w:eastAsia="zh-CN"/>
        </w:rPr>
        <w:t>（文书编号：</w:t>
      </w:r>
      <w:r>
        <w:rPr>
          <w:rFonts w:hint="eastAsia" w:ascii="仿宋" w:hAnsi="仿宋" w:eastAsia="仿宋"/>
          <w:bCs/>
          <w:kern w:val="32"/>
          <w:sz w:val="32"/>
          <w:szCs w:val="32"/>
          <w:lang w:val="en-US" w:eastAsia="zh-CN"/>
        </w:rPr>
        <w:t>1800692</w:t>
      </w:r>
      <w:r>
        <w:rPr>
          <w:rFonts w:hint="eastAsia" w:ascii="仿宋" w:hAnsi="仿宋" w:eastAsia="仿宋"/>
          <w:bCs/>
          <w:kern w:val="32"/>
          <w:sz w:val="32"/>
          <w:szCs w:val="32"/>
          <w:lang w:eastAsia="zh-CN"/>
        </w:rPr>
        <w:t>）</w:t>
      </w:r>
      <w:r>
        <w:rPr>
          <w:rFonts w:hint="eastAsia" w:ascii="仿宋" w:hAnsi="仿宋" w:eastAsia="仿宋"/>
          <w:bCs/>
          <w:kern w:val="32"/>
          <w:sz w:val="32"/>
          <w:szCs w:val="32"/>
        </w:rPr>
        <w:t>，认定：“雅鹿臻园</w:t>
      </w:r>
      <w:r>
        <w:rPr>
          <w:rFonts w:hint="eastAsia" w:ascii="仿宋" w:hAnsi="仿宋" w:eastAsia="仿宋"/>
          <w:bCs/>
          <w:kern w:val="32"/>
          <w:sz w:val="32"/>
          <w:szCs w:val="32"/>
          <w:lang w:val="en-US" w:eastAsia="zh-CN"/>
        </w:rPr>
        <w:t>XX幢XX室</w:t>
      </w:r>
      <w:r>
        <w:rPr>
          <w:rFonts w:hint="eastAsia" w:ascii="仿宋" w:hAnsi="仿宋" w:eastAsia="仿宋"/>
          <w:bCs/>
          <w:kern w:val="32"/>
          <w:sz w:val="32"/>
          <w:szCs w:val="32"/>
        </w:rPr>
        <w:t>拟搭建的建筑物</w:t>
      </w:r>
      <w:r>
        <w:rPr>
          <w:rFonts w:hint="eastAsia" w:ascii="仿宋" w:hAnsi="仿宋" w:eastAsia="仿宋"/>
          <w:bCs/>
          <w:kern w:val="32"/>
          <w:sz w:val="32"/>
          <w:szCs w:val="32"/>
          <w:lang w:eastAsia="zh-CN"/>
        </w:rPr>
        <w:t>，</w:t>
      </w:r>
      <w:r>
        <w:rPr>
          <w:rFonts w:hint="eastAsia" w:ascii="仿宋" w:hAnsi="仿宋" w:eastAsia="仿宋"/>
          <w:bCs/>
          <w:kern w:val="32"/>
          <w:sz w:val="32"/>
          <w:szCs w:val="32"/>
        </w:rPr>
        <w:t>未办理建设工程规划许可证，属违法建设。</w:t>
      </w:r>
      <w:r>
        <w:rPr>
          <w:rFonts w:hint="eastAsia" w:ascii="仿宋" w:hAnsi="仿宋" w:eastAsia="仿宋"/>
          <w:bCs/>
          <w:color w:val="auto"/>
          <w:kern w:val="32"/>
          <w:sz w:val="32"/>
          <w:szCs w:val="32"/>
          <w:lang w:eastAsia="zh-CN"/>
        </w:rPr>
        <w:t>”</w:t>
      </w:r>
      <w:r>
        <w:rPr>
          <w:rFonts w:hint="eastAsia" w:ascii="仿宋" w:hAnsi="仿宋" w:eastAsia="仿宋"/>
          <w:bCs/>
          <w:kern w:val="32"/>
          <w:sz w:val="32"/>
          <w:szCs w:val="32"/>
          <w:lang w:eastAsia="zh-CN"/>
        </w:rPr>
        <w:t>后</w:t>
      </w:r>
      <w:r>
        <w:rPr>
          <w:rFonts w:hint="eastAsia" w:ascii="仿宋" w:hAnsi="仿宋" w:eastAsia="仿宋"/>
          <w:bCs/>
          <w:kern w:val="32"/>
          <w:sz w:val="32"/>
          <w:szCs w:val="32"/>
        </w:rPr>
        <w:t>该认定书送达申请人。</w:t>
      </w: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上述事实有下列证据证实：</w:t>
      </w:r>
    </w:p>
    <w:p>
      <w:pPr>
        <w:topLinePunct/>
        <w:spacing w:line="580" w:lineRule="exact"/>
        <w:ind w:firstLine="640" w:firstLineChars="200"/>
        <w:rPr>
          <w:rFonts w:hint="eastAsia" w:ascii="仿宋" w:hAnsi="仿宋" w:eastAsia="仿宋"/>
          <w:bCs/>
          <w:kern w:val="32"/>
          <w:sz w:val="32"/>
          <w:szCs w:val="32"/>
          <w:lang w:eastAsia="zh-CN"/>
        </w:rPr>
      </w:pPr>
      <w:r>
        <w:rPr>
          <w:rFonts w:hint="eastAsia" w:ascii="仿宋" w:hAnsi="仿宋" w:eastAsia="仿宋"/>
          <w:bCs/>
          <w:kern w:val="32"/>
          <w:sz w:val="32"/>
          <w:szCs w:val="32"/>
        </w:rPr>
        <w:t>1、</w:t>
      </w:r>
      <w:r>
        <w:rPr>
          <w:rFonts w:hint="eastAsia" w:ascii="仿宋" w:hAnsi="仿宋" w:eastAsia="仿宋" w:cs="Arial"/>
          <w:kern w:val="32"/>
          <w:sz w:val="32"/>
          <w:szCs w:val="32"/>
          <w:lang w:val="en-US" w:eastAsia="zh-CN" w:bidi="ar-SA"/>
        </w:rPr>
        <w:t>商品房买卖合同概要、商品房买卖合同封面</w:t>
      </w:r>
      <w:r>
        <w:rPr>
          <w:rFonts w:hint="eastAsia" w:ascii="仿宋" w:hAnsi="仿宋" w:eastAsia="仿宋"/>
          <w:bCs/>
          <w:kern w:val="32"/>
          <w:sz w:val="32"/>
          <w:szCs w:val="32"/>
        </w:rPr>
        <w:t>。证明申请人</w:t>
      </w:r>
      <w:r>
        <w:rPr>
          <w:rFonts w:hint="eastAsia" w:ascii="仿宋" w:hAnsi="仿宋" w:eastAsia="仿宋"/>
          <w:bCs/>
          <w:kern w:val="32"/>
          <w:sz w:val="32"/>
          <w:szCs w:val="32"/>
          <w:lang w:eastAsia="zh-CN"/>
        </w:rPr>
        <w:t>为涉案房屋产权人。</w:t>
      </w:r>
    </w:p>
    <w:p>
      <w:pPr>
        <w:pStyle w:val="8"/>
        <w:topLinePunct/>
        <w:autoSpaceDE/>
        <w:autoSpaceDN/>
        <w:adjustRightInd/>
        <w:spacing w:line="580" w:lineRule="exact"/>
        <w:ind w:firstLine="640" w:firstLineChars="200"/>
        <w:jc w:val="both"/>
        <w:rPr>
          <w:rFonts w:hint="eastAsia" w:ascii="仿宋" w:hAnsi="仿宋_GB2312" w:eastAsia="仿宋" w:cs="仿宋_GB2312"/>
          <w:kern w:val="32"/>
          <w:sz w:val="32"/>
        </w:rPr>
      </w:pPr>
      <w:r>
        <w:rPr>
          <w:rFonts w:hint="eastAsia" w:ascii="仿宋" w:hAnsi="仿宋" w:eastAsia="仿宋" w:cs="Times New Roman"/>
          <w:bCs/>
          <w:kern w:val="32"/>
          <w:sz w:val="32"/>
          <w:szCs w:val="32"/>
          <w:lang w:val="en-US" w:eastAsia="zh-CN" w:bidi="ar-SA"/>
        </w:rPr>
        <w:t>2、规划许可办理查询记录、现场检查笔录及照片。</w:t>
      </w:r>
      <w:r>
        <w:rPr>
          <w:rFonts w:hint="eastAsia" w:ascii="仿宋" w:hAnsi="仿宋_GB2312" w:eastAsia="仿宋" w:cs="仿宋_GB2312"/>
          <w:kern w:val="32"/>
          <w:sz w:val="32"/>
        </w:rPr>
        <w:t>证明申请人</w:t>
      </w:r>
      <w:r>
        <w:rPr>
          <w:rFonts w:hint="eastAsia" w:ascii="仿宋" w:hAnsi="仿宋_GB2312" w:eastAsia="仿宋" w:cs="仿宋_GB2312"/>
          <w:kern w:val="32"/>
          <w:sz w:val="32"/>
          <w:lang w:eastAsia="zh-CN"/>
        </w:rPr>
        <w:t>未向</w:t>
      </w:r>
      <w:r>
        <w:rPr>
          <w:rFonts w:hint="eastAsia" w:ascii="仿宋" w:hAnsi="仿宋" w:eastAsia="仿宋"/>
          <w:bCs/>
          <w:kern w:val="32"/>
          <w:sz w:val="32"/>
          <w:szCs w:val="32"/>
          <w:lang w:eastAsia="zh-CN"/>
        </w:rPr>
        <w:t>太仓市住房和城乡建设局</w:t>
      </w:r>
      <w:r>
        <w:rPr>
          <w:rFonts w:hint="eastAsia" w:ascii="仿宋" w:hAnsi="仿宋_GB2312" w:eastAsia="仿宋" w:cs="仿宋_GB2312"/>
          <w:kern w:val="32"/>
          <w:sz w:val="32"/>
          <w:lang w:eastAsia="zh-CN"/>
        </w:rPr>
        <w:t>申请规划许可即</w:t>
      </w:r>
      <w:r>
        <w:rPr>
          <w:rFonts w:hint="eastAsia" w:ascii="仿宋" w:hAnsi="仿宋_GB2312" w:eastAsia="仿宋" w:cs="仿宋_GB2312"/>
          <w:kern w:val="32"/>
          <w:sz w:val="32"/>
        </w:rPr>
        <w:t>进行搭建</w:t>
      </w:r>
      <w:r>
        <w:rPr>
          <w:rFonts w:hint="eastAsia" w:ascii="仿宋" w:eastAsia="仿宋"/>
          <w:kern w:val="32"/>
          <w:sz w:val="32"/>
          <w:szCs w:val="29"/>
          <w:lang w:eastAsia="zh-CN"/>
        </w:rPr>
        <w:t>。</w:t>
      </w:r>
    </w:p>
    <w:p>
      <w:pPr>
        <w:pStyle w:val="8"/>
        <w:topLinePunct/>
        <w:autoSpaceDE/>
        <w:autoSpaceDN/>
        <w:adjustRightInd/>
        <w:spacing w:line="580" w:lineRule="exact"/>
        <w:ind w:firstLine="640" w:firstLineChars="200"/>
        <w:jc w:val="both"/>
        <w:rPr>
          <w:rFonts w:hint="eastAsia" w:ascii="仿宋" w:hAnsi="仿宋" w:eastAsia="仿宋" w:cs="Times New Roman"/>
          <w:bCs/>
          <w:kern w:val="32"/>
          <w:sz w:val="32"/>
          <w:szCs w:val="32"/>
          <w:lang w:val="en-US" w:eastAsia="zh-CN" w:bidi="ar-SA"/>
        </w:rPr>
      </w:pPr>
      <w:r>
        <w:rPr>
          <w:rFonts w:hint="eastAsia" w:ascii="仿宋" w:hAnsi="仿宋" w:eastAsia="仿宋" w:cs="Times New Roman"/>
          <w:bCs/>
          <w:kern w:val="32"/>
          <w:sz w:val="32"/>
          <w:szCs w:val="32"/>
          <w:lang w:val="en-US" w:eastAsia="zh-CN" w:bidi="ar-SA"/>
        </w:rPr>
        <w:t>3、在建建设规划认定书。证明</w:t>
      </w:r>
      <w:r>
        <w:rPr>
          <w:rFonts w:hint="eastAsia" w:ascii="仿宋" w:hAnsi="仿宋" w:eastAsia="仿宋"/>
          <w:bCs/>
          <w:kern w:val="32"/>
          <w:sz w:val="32"/>
          <w:szCs w:val="32"/>
          <w:lang w:eastAsia="zh-CN"/>
        </w:rPr>
        <w:t>太仓市住房和城乡建设局</w:t>
      </w:r>
      <w:r>
        <w:rPr>
          <w:rFonts w:hint="eastAsia" w:ascii="仿宋" w:hAnsi="仿宋" w:eastAsia="仿宋" w:cs="Times New Roman"/>
          <w:bCs/>
          <w:kern w:val="32"/>
          <w:sz w:val="32"/>
          <w:szCs w:val="32"/>
          <w:lang w:val="en-US" w:eastAsia="zh-CN" w:bidi="ar-SA"/>
        </w:rPr>
        <w:t xml:space="preserve">认定申请人进行的搭建属违法建设的内容和时间。 </w:t>
      </w: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本机关认为：</w:t>
      </w:r>
      <w:r>
        <w:rPr>
          <w:rFonts w:hint="eastAsia" w:ascii="仿宋" w:hAnsi="仿宋" w:eastAsia="仿宋"/>
          <w:bCs/>
          <w:color w:val="auto"/>
          <w:kern w:val="32"/>
          <w:sz w:val="32"/>
          <w:szCs w:val="32"/>
        </w:rPr>
        <w:t>县级以上地方人民政府城乡规划主管部门负责本行政区域内的城乡规划管理工作</w:t>
      </w:r>
      <w:r>
        <w:rPr>
          <w:rFonts w:hint="eastAsia" w:ascii="仿宋" w:hAnsi="仿宋" w:eastAsia="仿宋"/>
          <w:bCs/>
          <w:color w:val="auto"/>
          <w:kern w:val="32"/>
          <w:sz w:val="32"/>
          <w:szCs w:val="32"/>
          <w:lang w:eastAsia="zh-CN"/>
        </w:rPr>
        <w:t>，太仓市住房和城乡建设局是进行违法建设认定的有权部门。在行政复议过程中，因机构改革，太仓市住房和城乡建设局的城乡规划管理职能转入太仓市自然资源和规划局，因此，在本案审理过程中，本机关将被申请人变更为太仓市自然资源和规划局。</w:t>
      </w:r>
      <w:r>
        <w:rPr>
          <w:rFonts w:hint="eastAsia" w:ascii="仿宋" w:eastAsia="仿宋"/>
          <w:color w:val="auto"/>
          <w:kern w:val="32"/>
          <w:sz w:val="32"/>
          <w:szCs w:val="28"/>
        </w:rPr>
        <w:t>《</w:t>
      </w:r>
      <w:r>
        <w:rPr>
          <w:rFonts w:hint="eastAsia" w:ascii="仿宋" w:eastAsia="仿宋"/>
          <w:kern w:val="32"/>
          <w:sz w:val="32"/>
          <w:szCs w:val="28"/>
        </w:rPr>
        <w:t>中华人民共和国城</w:t>
      </w:r>
      <w:r>
        <w:rPr>
          <w:rFonts w:hint="eastAsia" w:ascii="仿宋" w:eastAsia="仿宋"/>
          <w:kern w:val="32"/>
          <w:sz w:val="32"/>
          <w:szCs w:val="28"/>
          <w:lang w:eastAsia="zh-CN"/>
        </w:rPr>
        <w:t>乡</w:t>
      </w:r>
      <w:r>
        <w:rPr>
          <w:rFonts w:hint="eastAsia" w:ascii="仿宋" w:eastAsia="仿宋"/>
          <w:kern w:val="32"/>
          <w:sz w:val="32"/>
          <w:szCs w:val="28"/>
        </w:rPr>
        <w:t>规划法》</w:t>
      </w:r>
      <w:r>
        <w:rPr>
          <w:rStyle w:val="6"/>
          <w:rFonts w:hint="eastAsia" w:ascii="仿宋" w:eastAsia="仿宋"/>
          <w:b w:val="0"/>
          <w:kern w:val="32"/>
          <w:sz w:val="32"/>
          <w:szCs w:val="28"/>
        </w:rPr>
        <w:t>第四十条第一款</w:t>
      </w:r>
      <w:r>
        <w:rPr>
          <w:rFonts w:hint="eastAsia" w:ascii="仿宋" w:eastAsia="仿宋"/>
          <w:kern w:val="32"/>
          <w:sz w:val="32"/>
          <w:szCs w:val="28"/>
        </w:rPr>
        <w:t>规定，“在城市、镇规划区内进行建筑物、构筑物、道路、管线和其他工程建设的，建设单位或者个人应当向城市、县人民政府城乡规划主管部门或者省、自治区、直辖市人民政府确定的镇人民政府申请办理建设工程规划许可证。</w:t>
      </w:r>
      <w:r>
        <w:rPr>
          <w:rFonts w:hint="eastAsia" w:ascii="仿宋" w:eastAsia="仿宋"/>
          <w:color w:val="auto"/>
          <w:kern w:val="32"/>
          <w:sz w:val="32"/>
          <w:szCs w:val="28"/>
          <w:lang w:eastAsia="zh-CN"/>
        </w:rPr>
        <w:t>”</w:t>
      </w:r>
      <w:r>
        <w:rPr>
          <w:rFonts w:hint="eastAsia" w:ascii="仿宋" w:eastAsia="仿宋"/>
          <w:kern w:val="32"/>
          <w:sz w:val="32"/>
          <w:szCs w:val="28"/>
        </w:rPr>
        <w:t>本案中，</w:t>
      </w:r>
      <w:r>
        <w:rPr>
          <w:rFonts w:hint="eastAsia" w:ascii="仿宋" w:eastAsia="仿宋"/>
          <w:color w:val="auto"/>
          <w:kern w:val="32"/>
          <w:sz w:val="32"/>
          <w:szCs w:val="28"/>
          <w:lang w:eastAsia="zh-CN"/>
        </w:rPr>
        <w:t>雅鹿臻园位于城市规划区内，</w:t>
      </w:r>
      <w:r>
        <w:rPr>
          <w:rFonts w:hint="eastAsia" w:ascii="仿宋" w:eastAsia="仿宋"/>
          <w:kern w:val="32"/>
          <w:sz w:val="32"/>
          <w:szCs w:val="28"/>
        </w:rPr>
        <w:t>申请人未</w:t>
      </w:r>
      <w:r>
        <w:rPr>
          <w:rFonts w:hint="eastAsia" w:ascii="仿宋" w:eastAsia="仿宋"/>
          <w:kern w:val="32"/>
          <w:sz w:val="32"/>
          <w:szCs w:val="28"/>
          <w:lang w:eastAsia="zh-CN"/>
        </w:rPr>
        <w:t>取得</w:t>
      </w:r>
      <w:r>
        <w:rPr>
          <w:rFonts w:hint="eastAsia" w:ascii="仿宋" w:eastAsia="仿宋"/>
          <w:kern w:val="32"/>
          <w:sz w:val="32"/>
          <w:szCs w:val="28"/>
        </w:rPr>
        <w:t>建设工程规划许可证即进行建设，</w:t>
      </w:r>
      <w:r>
        <w:rPr>
          <w:rFonts w:hint="eastAsia" w:ascii="仿宋" w:eastAsia="仿宋"/>
          <w:kern w:val="32"/>
          <w:sz w:val="32"/>
          <w:szCs w:val="28"/>
          <w:lang w:eastAsia="zh-CN"/>
        </w:rPr>
        <w:t>违反了上述规定。</w:t>
      </w:r>
      <w:r>
        <w:rPr>
          <w:rFonts w:hint="eastAsia" w:ascii="仿宋" w:hAnsi="仿宋" w:eastAsia="仿宋"/>
          <w:bCs/>
          <w:color w:val="auto"/>
          <w:kern w:val="32"/>
          <w:sz w:val="32"/>
          <w:szCs w:val="32"/>
          <w:lang w:eastAsia="zh-CN"/>
        </w:rPr>
        <w:t>被申请人</w:t>
      </w:r>
      <w:r>
        <w:rPr>
          <w:rFonts w:hint="eastAsia" w:ascii="仿宋" w:eastAsia="仿宋"/>
          <w:kern w:val="32"/>
          <w:sz w:val="32"/>
          <w:szCs w:val="28"/>
          <w:lang w:eastAsia="zh-CN"/>
        </w:rPr>
        <w:t>作出违法建设的认定，</w:t>
      </w:r>
      <w:r>
        <w:rPr>
          <w:rFonts w:hint="eastAsia" w:ascii="仿宋" w:eastAsia="仿宋"/>
          <w:kern w:val="32"/>
          <w:sz w:val="32"/>
          <w:szCs w:val="29"/>
        </w:rPr>
        <w:t>事实清楚、依据充分。</w:t>
      </w: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根据《中华人民共和国行政复议法》第</w:t>
      </w:r>
      <w:r>
        <w:rPr>
          <w:rFonts w:hint="eastAsia" w:ascii="仿宋" w:hAnsi="仿宋" w:eastAsia="仿宋"/>
          <w:bCs/>
          <w:kern w:val="32"/>
          <w:sz w:val="32"/>
          <w:szCs w:val="32"/>
          <w:lang w:eastAsia="zh-CN"/>
        </w:rPr>
        <w:t>二</w:t>
      </w:r>
      <w:r>
        <w:rPr>
          <w:rFonts w:hint="eastAsia" w:ascii="仿宋" w:hAnsi="仿宋" w:eastAsia="仿宋"/>
          <w:bCs/>
          <w:kern w:val="32"/>
          <w:sz w:val="32"/>
          <w:szCs w:val="32"/>
        </w:rPr>
        <w:t>十八条第一款第一项之规定，本机关决定如下：</w:t>
      </w: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维持</w:t>
      </w:r>
      <w:r>
        <w:rPr>
          <w:rFonts w:hint="eastAsia" w:ascii="仿宋" w:hAnsi="仿宋" w:eastAsia="仿宋"/>
          <w:bCs/>
          <w:kern w:val="32"/>
          <w:sz w:val="32"/>
          <w:szCs w:val="32"/>
          <w:lang w:eastAsia="zh-CN"/>
        </w:rPr>
        <w:t>被申请人作出的</w:t>
      </w:r>
      <w:r>
        <w:rPr>
          <w:rFonts w:hint="eastAsia" w:ascii="仿宋" w:hAnsi="仿宋" w:eastAsia="仿宋"/>
          <w:bCs/>
          <w:kern w:val="32"/>
          <w:sz w:val="32"/>
          <w:szCs w:val="32"/>
        </w:rPr>
        <w:t>《在建建设规划认定书》。</w:t>
      </w: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如对本决定不服，可以自接到本决定书之日起15日内，向</w:t>
      </w:r>
      <w:r>
        <w:rPr>
          <w:rFonts w:hint="eastAsia" w:ascii="仿宋" w:hAnsi="仿宋" w:eastAsia="仿宋"/>
          <w:bCs/>
          <w:kern w:val="32"/>
          <w:sz w:val="32"/>
          <w:szCs w:val="32"/>
          <w:lang w:eastAsia="zh-CN"/>
        </w:rPr>
        <w:t>太仓市</w:t>
      </w:r>
      <w:r>
        <w:rPr>
          <w:rFonts w:hint="eastAsia" w:ascii="仿宋" w:hAnsi="仿宋" w:eastAsia="仿宋"/>
          <w:bCs/>
          <w:kern w:val="32"/>
          <w:sz w:val="32"/>
          <w:szCs w:val="32"/>
        </w:rPr>
        <w:t>人民法院提起行政诉讼。</w:t>
      </w:r>
    </w:p>
    <w:p>
      <w:pPr>
        <w:topLinePunct/>
        <w:spacing w:line="580" w:lineRule="exact"/>
        <w:ind w:firstLine="640" w:firstLineChars="200"/>
        <w:rPr>
          <w:rFonts w:hint="eastAsia" w:ascii="仿宋" w:hAnsi="仿宋" w:eastAsia="仿宋"/>
          <w:bCs/>
          <w:kern w:val="32"/>
          <w:sz w:val="32"/>
          <w:szCs w:val="32"/>
        </w:rPr>
      </w:pPr>
    </w:p>
    <w:p>
      <w:pPr>
        <w:topLinePunct/>
        <w:spacing w:line="580" w:lineRule="exact"/>
        <w:ind w:firstLine="640" w:firstLineChars="200"/>
        <w:jc w:val="right"/>
        <w:rPr>
          <w:rFonts w:hint="eastAsia" w:ascii="仿宋" w:hAnsi="仿宋" w:eastAsia="仿宋"/>
          <w:bCs/>
          <w:kern w:val="32"/>
          <w:sz w:val="32"/>
          <w:szCs w:val="32"/>
        </w:rPr>
      </w:pPr>
      <w:r>
        <w:rPr>
          <w:rFonts w:hint="eastAsia" w:ascii="仿宋" w:hAnsi="仿宋" w:eastAsia="仿宋"/>
          <w:bCs/>
          <w:kern w:val="32"/>
          <w:sz w:val="32"/>
          <w:szCs w:val="32"/>
        </w:rPr>
        <w:t xml:space="preserve">                         二</w:t>
      </w:r>
      <w:r>
        <w:rPr>
          <w:rFonts w:hint="eastAsia" w:ascii="仿宋" w:hAnsi="仿宋" w:eastAsia="仿宋" w:cs="宋体"/>
          <w:bCs/>
          <w:kern w:val="32"/>
          <w:sz w:val="32"/>
          <w:szCs w:val="32"/>
        </w:rPr>
        <w:t>〇一九</w:t>
      </w:r>
      <w:r>
        <w:rPr>
          <w:rFonts w:hint="eastAsia" w:ascii="仿宋" w:hAnsi="仿宋" w:eastAsia="仿宋"/>
          <w:bCs/>
          <w:kern w:val="32"/>
          <w:sz w:val="32"/>
          <w:szCs w:val="32"/>
        </w:rPr>
        <w:t>年五月</w:t>
      </w:r>
      <w:r>
        <w:rPr>
          <w:rFonts w:hint="eastAsia" w:ascii="仿宋" w:hAnsi="仿宋" w:eastAsia="仿宋"/>
          <w:bCs/>
          <w:kern w:val="32"/>
          <w:sz w:val="32"/>
          <w:szCs w:val="32"/>
          <w:lang w:eastAsia="zh-CN"/>
        </w:rPr>
        <w:t>二十三</w:t>
      </w:r>
      <w:r>
        <w:rPr>
          <w:rFonts w:hint="eastAsia" w:ascii="仿宋" w:hAnsi="仿宋" w:eastAsia="仿宋"/>
          <w:bCs/>
          <w:kern w:val="32"/>
          <w:sz w:val="32"/>
          <w:szCs w:val="32"/>
        </w:rPr>
        <w:t>日</w:t>
      </w:r>
    </w:p>
    <w:p/>
    <w:sectPr>
      <w:footerReference r:id="rId3" w:type="default"/>
      <w:footerReference r:id="rId4" w:type="even"/>
      <w:pgSz w:w="11906" w:h="16838"/>
      <w:pgMar w:top="1440" w:right="1797" w:bottom="1440" w:left="179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- 4 -</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3A4657"/>
    <w:rsid w:val="0F551477"/>
    <w:rsid w:val="11506F12"/>
    <w:rsid w:val="12A8724C"/>
    <w:rsid w:val="180779C1"/>
    <w:rsid w:val="2D4F7FC0"/>
    <w:rsid w:val="323A4657"/>
    <w:rsid w:val="340F078E"/>
    <w:rsid w:val="34A84703"/>
    <w:rsid w:val="3AB41037"/>
    <w:rsid w:val="40984C35"/>
    <w:rsid w:val="48904D8D"/>
    <w:rsid w:val="4AD14946"/>
    <w:rsid w:val="5DC86102"/>
    <w:rsid w:val="5FEB46EF"/>
    <w:rsid w:val="64530920"/>
    <w:rsid w:val="66277625"/>
    <w:rsid w:val="67BA29DA"/>
    <w:rsid w:val="728927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Strong"/>
    <w:basedOn w:val="5"/>
    <w:qFormat/>
    <w:uiPriority w:val="0"/>
    <w:rPr>
      <w:b/>
      <w:bCs/>
    </w:rPr>
  </w:style>
  <w:style w:type="character" w:styleId="7">
    <w:name w:val="page number"/>
    <w:basedOn w:val="5"/>
    <w:qFormat/>
    <w:uiPriority w:val="0"/>
  </w:style>
  <w:style w:type="paragraph" w:customStyle="1" w:styleId="8">
    <w:name w:val="样式"/>
    <w:qFormat/>
    <w:uiPriority w:val="0"/>
    <w:pPr>
      <w:widowControl w:val="0"/>
      <w:autoSpaceDE w:val="0"/>
      <w:autoSpaceDN w:val="0"/>
      <w:adjustRightInd w:val="0"/>
    </w:pPr>
    <w:rPr>
      <w:rFonts w:ascii="宋体" w:hAnsi="Times New Roman" w:eastAsia="宋体" w:cs="宋体"/>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2019-05-08T06:34:00Z</dcterms:created>
  <dc:creator>水晶蓝贝</dc:creator>
  <cp:lastModifiedBy>水晶蓝贝</cp:lastModifiedBy>
  <dcterms:modified xsi:type="dcterms:W3CDTF">2019-09-27T08:31:55Z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2052-11.1.0.9058</vt:lpwstr>
  </property>
</Properties>
</file>