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E9" w:rsidRDefault="008667E9" w:rsidP="008667E9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667E9">
        <w:rPr>
          <w:rFonts w:ascii="方正小标宋简体" w:eastAsia="方正小标宋简体" w:hAnsi="方正小标宋简体"/>
          <w:sz w:val="44"/>
          <w:szCs w:val="44"/>
        </w:rPr>
        <w:t>太仓市地方金融监督管理局</w:t>
      </w:r>
      <w:r w:rsidRPr="008667E9">
        <w:rPr>
          <w:rFonts w:ascii="方正小标宋简体" w:eastAsia="方正小标宋简体" w:hAnsi="方正小标宋简体" w:hint="eastAsia"/>
          <w:sz w:val="44"/>
          <w:szCs w:val="44"/>
        </w:rPr>
        <w:t>2019年</w:t>
      </w:r>
    </w:p>
    <w:p w:rsidR="00D274E7" w:rsidRDefault="008667E9" w:rsidP="008667E9">
      <w:pPr>
        <w:spacing w:line="5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8667E9">
        <w:rPr>
          <w:rFonts w:ascii="方正小标宋简体" w:eastAsia="方正小标宋简体" w:hAnsi="方正小标宋简体" w:hint="eastAsia"/>
          <w:sz w:val="44"/>
          <w:szCs w:val="44"/>
        </w:rPr>
        <w:t>政府信息公开工作年度报告</w:t>
      </w:r>
    </w:p>
    <w:p w:rsidR="008667E9" w:rsidRDefault="008667E9" w:rsidP="008667E9">
      <w:pPr>
        <w:spacing w:line="580" w:lineRule="exact"/>
        <w:jc w:val="left"/>
        <w:rPr>
          <w:rFonts w:ascii="方正小标宋简体" w:eastAsia="方正小标宋简体" w:hAnsi="方正小标宋简体"/>
          <w:sz w:val="32"/>
          <w:szCs w:val="32"/>
        </w:rPr>
      </w:pPr>
    </w:p>
    <w:p w:rsidR="00C22183" w:rsidRDefault="00674C09" w:rsidP="00674C0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本年报根据新修订《中华人民共和国政府信息公开条例》和国务院办公厅政府信息与政务公开办公室《关于政府信息公开工作年度报告有关事项的通知》（国办公开办函〔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号）有关要求，由太仓市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地方金融监督管理局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编制。本年报所列数据的统计期限自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日起至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日止。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全文包括</w:t>
      </w:r>
      <w:r w:rsidR="00C22183">
        <w:rPr>
          <w:rFonts w:ascii="Times New Roman" w:eastAsia="仿宋_GB2312" w:hAnsi="Times New Roman" w:cs="Times New Roman" w:hint="eastAsia"/>
          <w:sz w:val="32"/>
          <w:szCs w:val="32"/>
        </w:rPr>
        <w:t>总体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情况，主动公开政府信息情况，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收到和处理政府信息公开申请情况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政府信息公开行政复议、行政诉讼情况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存在的主要问题及改进情况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，</w:t>
      </w:r>
      <w:r w:rsidR="00C22183" w:rsidRPr="00C22183">
        <w:rPr>
          <w:rFonts w:ascii="Times New Roman" w:eastAsia="仿宋_GB2312" w:hAnsi="Times New Roman" w:cs="Times New Roman" w:hint="eastAsia"/>
          <w:sz w:val="32"/>
          <w:szCs w:val="32"/>
        </w:rPr>
        <w:t>其他需要报告的事项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等方面。本年度报告的电子版可在太仓市</w:t>
      </w:r>
      <w:r w:rsidR="00C22183">
        <w:rPr>
          <w:rFonts w:ascii="Times New Roman" w:eastAsia="仿宋_GB2312" w:hAnsi="Times New Roman" w:cs="Times New Roman" w:hint="eastAsia"/>
          <w:sz w:val="32"/>
          <w:szCs w:val="32"/>
        </w:rPr>
        <w:t>人民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政府网站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www.taicang.gov.cn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上下载。如有疑问请</w:t>
      </w:r>
      <w:r>
        <w:rPr>
          <w:rFonts w:ascii="Times New Roman" w:eastAsia="仿宋_GB2312" w:hAnsi="Times New Roman" w:cs="Times New Roman"/>
          <w:sz w:val="32"/>
          <w:szCs w:val="32"/>
        </w:rPr>
        <w:t>与太仓市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地方</w:t>
      </w:r>
      <w:r>
        <w:rPr>
          <w:rFonts w:ascii="Times New Roman" w:eastAsia="仿宋_GB2312" w:hAnsi="Times New Roman" w:cs="Times New Roman"/>
          <w:sz w:val="32"/>
          <w:szCs w:val="32"/>
        </w:rPr>
        <w:t>金融监督管理局办公室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（太仓市县府东街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号行政中心，邮编：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215400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0512-53890860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2218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343DD" w:rsidRPr="00430096" w:rsidRDefault="003054EB" w:rsidP="00C22183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30096">
        <w:rPr>
          <w:rFonts w:ascii="黑体" w:eastAsia="黑体" w:hAnsi="黑体" w:cs="Times New Roman"/>
          <w:sz w:val="32"/>
          <w:szCs w:val="32"/>
        </w:rPr>
        <w:t>一</w:t>
      </w:r>
      <w:r w:rsidRPr="00430096">
        <w:rPr>
          <w:rFonts w:ascii="黑体" w:eastAsia="黑体" w:hAnsi="黑体" w:cs="Times New Roman" w:hint="eastAsia"/>
          <w:sz w:val="32"/>
          <w:szCs w:val="32"/>
        </w:rPr>
        <w:t>、</w:t>
      </w:r>
      <w:r w:rsidRPr="00430096">
        <w:rPr>
          <w:rFonts w:ascii="黑体" w:eastAsia="黑体" w:hAnsi="黑体" w:cs="Times New Roman"/>
          <w:sz w:val="32"/>
          <w:szCs w:val="32"/>
        </w:rPr>
        <w:t>总体情况</w:t>
      </w:r>
    </w:p>
    <w:p w:rsidR="00674C09" w:rsidRPr="005D1016" w:rsidRDefault="00674C09" w:rsidP="005D101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年，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自机构改革组建以来，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金融监管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局深入贯彻上级关于全面推进政务公开的决策部署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加强组织领导，强化责任意识，坚持“以公开为常态，不公开为例外”的原则，认真学习贯彻新修订的《政府信息公开条例》和上级部门有关政府信息公开工作的通知要求，进一步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政府信息公开力度，结合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金融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工作实际，及时、准确、全面公开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金融监管工作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信息，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公开水平得到</w:t>
      </w:r>
      <w:r w:rsidR="00D06403">
        <w:rPr>
          <w:rFonts w:ascii="Times New Roman" w:eastAsia="仿宋_GB2312" w:hAnsi="Times New Roman" w:cs="Times New Roman" w:hint="eastAsia"/>
          <w:sz w:val="32"/>
          <w:szCs w:val="32"/>
        </w:rPr>
        <w:t>有效提高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，为加快构建畅通安全高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效的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金融服务</w:t>
      </w:r>
      <w:r w:rsidRPr="00674C09">
        <w:rPr>
          <w:rFonts w:ascii="Times New Roman" w:eastAsia="仿宋_GB2312" w:hAnsi="Times New Roman" w:cs="Times New Roman" w:hint="eastAsia"/>
          <w:sz w:val="32"/>
          <w:szCs w:val="32"/>
        </w:rPr>
        <w:t>体系营造了良好的政务环境。</w:t>
      </w:r>
      <w:r w:rsidR="00CC4BC8">
        <w:rPr>
          <w:rFonts w:ascii="仿宋_GB2312" w:eastAsia="仿宋_GB2312" w:hAnsi="仿宋_GB2312" w:cs="仿宋_GB2312" w:hint="eastAsia"/>
          <w:sz w:val="32"/>
          <w:szCs w:val="32"/>
        </w:rPr>
        <w:t>全年依托政府门户网站公开信息</w:t>
      </w:r>
      <w:r w:rsidR="0040663F">
        <w:rPr>
          <w:rFonts w:ascii="仿宋_GB2312" w:eastAsia="仿宋_GB2312" w:hAnsi="仿宋_GB2312" w:cs="仿宋_GB2312" w:hint="eastAsia"/>
          <w:sz w:val="32"/>
          <w:szCs w:val="32"/>
        </w:rPr>
        <w:t>21</w:t>
      </w:r>
      <w:r w:rsidR="00CC4BC8">
        <w:rPr>
          <w:rFonts w:ascii="仿宋_GB2312" w:eastAsia="仿宋_GB2312" w:hAnsi="仿宋_GB2312" w:cs="仿宋_GB2312" w:hint="eastAsia"/>
          <w:sz w:val="32"/>
          <w:szCs w:val="32"/>
        </w:rPr>
        <w:t>条，</w:t>
      </w:r>
      <w:r w:rsidR="005D1016">
        <w:rPr>
          <w:rFonts w:ascii="仿宋_GB2312" w:eastAsia="仿宋_GB2312" w:hAnsi="仿宋_GB2312" w:cs="仿宋_GB2312" w:hint="eastAsia"/>
          <w:sz w:val="32"/>
          <w:szCs w:val="32"/>
        </w:rPr>
        <w:t>未收到政府信息公开申请、行政复议和行政诉讼等情况。</w:t>
      </w:r>
    </w:p>
    <w:p w:rsidR="00BE412B" w:rsidRPr="00430096" w:rsidRDefault="00BE412B" w:rsidP="00674C09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430096">
        <w:rPr>
          <w:rFonts w:ascii="楷体" w:eastAsia="楷体" w:hAnsi="楷体" w:cs="Times New Roman" w:hint="eastAsia"/>
          <w:sz w:val="32"/>
          <w:szCs w:val="32"/>
        </w:rPr>
        <w:t>（一）组织领导情况</w:t>
      </w:r>
    </w:p>
    <w:p w:rsidR="00BE412B" w:rsidRDefault="00430096" w:rsidP="00674C0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市金融监管局</w:t>
      </w:r>
      <w:r w:rsidRPr="00430096">
        <w:rPr>
          <w:rFonts w:ascii="仿宋_GB2312" w:eastAsia="仿宋_GB2312" w:hint="eastAsia"/>
          <w:sz w:val="32"/>
          <w:szCs w:val="32"/>
        </w:rPr>
        <w:t>始终把推行政务公开工作作为落实党风廉政建设责任制、转变机关作风、提高行政效能、改善营商环境的一项重要工作来抓，</w:t>
      </w:r>
      <w:r w:rsidR="00BE412B">
        <w:rPr>
          <w:rFonts w:ascii="仿宋_GB2312" w:eastAsia="仿宋_GB2312" w:hint="eastAsia"/>
          <w:sz w:val="32"/>
          <w:szCs w:val="32"/>
        </w:rPr>
        <w:t>切实加强对政府信息公开工作的组织领导，成立局政府信息公开工作领导小组，负责全局</w:t>
      </w:r>
      <w:r w:rsidR="00BE412B" w:rsidRPr="001B3479">
        <w:rPr>
          <w:rFonts w:ascii="仿宋_GB2312" w:eastAsia="仿宋_GB2312"/>
          <w:sz w:val="32"/>
          <w:szCs w:val="32"/>
        </w:rPr>
        <w:t>政府信息公开工作，研究解决政府信息公开工作中的重大问题。领导小组下设办公室，负责组织实施本办法，并推动、协调全</w:t>
      </w:r>
      <w:r w:rsidR="00BE412B" w:rsidRPr="001B3479">
        <w:rPr>
          <w:rFonts w:ascii="仿宋_GB2312" w:eastAsia="仿宋_GB2312" w:hint="eastAsia"/>
          <w:sz w:val="32"/>
          <w:szCs w:val="32"/>
        </w:rPr>
        <w:t>局</w:t>
      </w:r>
      <w:r w:rsidR="00BE412B" w:rsidRPr="001B3479">
        <w:rPr>
          <w:rFonts w:ascii="仿宋_GB2312" w:eastAsia="仿宋_GB2312"/>
          <w:sz w:val="32"/>
          <w:szCs w:val="32"/>
        </w:rPr>
        <w:t>政府信息公开工作。领导小组办公室设在</w:t>
      </w:r>
      <w:r w:rsidR="00BE412B" w:rsidRPr="001B3479">
        <w:rPr>
          <w:rFonts w:ascii="仿宋_GB2312" w:eastAsia="仿宋_GB2312" w:hint="eastAsia"/>
          <w:sz w:val="32"/>
          <w:szCs w:val="32"/>
        </w:rPr>
        <w:t>局</w:t>
      </w:r>
      <w:r w:rsidR="00BE412B" w:rsidRPr="001B3479">
        <w:rPr>
          <w:rFonts w:ascii="仿宋_GB2312" w:eastAsia="仿宋_GB2312"/>
          <w:sz w:val="32"/>
          <w:szCs w:val="32"/>
        </w:rPr>
        <w:t>办公室</w:t>
      </w:r>
      <w:r w:rsidR="00BE412B" w:rsidRPr="001B3479">
        <w:rPr>
          <w:rFonts w:ascii="仿宋_GB2312" w:eastAsia="仿宋_GB2312" w:hint="eastAsia"/>
          <w:sz w:val="32"/>
          <w:szCs w:val="32"/>
        </w:rPr>
        <w:t>，负责</w:t>
      </w:r>
      <w:r w:rsidR="00BE412B" w:rsidRPr="001B3479">
        <w:rPr>
          <w:rFonts w:ascii="仿宋_GB2312" w:eastAsia="仿宋_GB2312"/>
          <w:sz w:val="32"/>
          <w:szCs w:val="32"/>
        </w:rPr>
        <w:t>对拟公开的政府信息进行保密审查，统一受理、办理依申请公开政府信息</w:t>
      </w:r>
      <w:r w:rsidR="00BE412B">
        <w:rPr>
          <w:rFonts w:ascii="仿宋_GB2312" w:eastAsia="仿宋_GB2312" w:hint="eastAsia"/>
          <w:sz w:val="32"/>
          <w:szCs w:val="32"/>
        </w:rPr>
        <w:t>，</w:t>
      </w:r>
      <w:r w:rsidR="00BE412B" w:rsidRPr="001B3479">
        <w:rPr>
          <w:rFonts w:ascii="仿宋_GB2312" w:eastAsia="仿宋_GB2312" w:hint="eastAsia"/>
          <w:sz w:val="32"/>
          <w:szCs w:val="32"/>
        </w:rPr>
        <w:t>太仓市人民政府门户网站及太仓市地方</w:t>
      </w:r>
      <w:r w:rsidR="00BE412B" w:rsidRPr="001B3479">
        <w:rPr>
          <w:rFonts w:ascii="仿宋_GB2312" w:eastAsia="仿宋_GB2312"/>
          <w:sz w:val="32"/>
          <w:szCs w:val="32"/>
        </w:rPr>
        <w:t>金融监督管理局</w:t>
      </w:r>
      <w:r w:rsidR="00BE412B" w:rsidRPr="001B3479">
        <w:rPr>
          <w:rFonts w:ascii="仿宋_GB2312" w:eastAsia="仿宋_GB2312" w:hint="eastAsia"/>
          <w:sz w:val="32"/>
          <w:szCs w:val="32"/>
        </w:rPr>
        <w:t>部门栏目的</w:t>
      </w:r>
      <w:r w:rsidR="00BE412B">
        <w:rPr>
          <w:rFonts w:ascii="仿宋_GB2312" w:eastAsia="仿宋_GB2312"/>
          <w:sz w:val="32"/>
          <w:szCs w:val="32"/>
        </w:rPr>
        <w:t>管理，保障政府信息公开工作的顺利开展</w:t>
      </w:r>
      <w:r w:rsidR="00BE412B" w:rsidRPr="001B3479">
        <w:rPr>
          <w:rFonts w:ascii="仿宋_GB2312" w:eastAsia="仿宋_GB2312"/>
          <w:sz w:val="32"/>
          <w:szCs w:val="32"/>
        </w:rPr>
        <w:t>。</w:t>
      </w:r>
    </w:p>
    <w:p w:rsidR="00BE412B" w:rsidRPr="00430096" w:rsidRDefault="00BE412B" w:rsidP="00674C09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30096">
        <w:rPr>
          <w:rFonts w:ascii="楷体" w:eastAsia="楷体" w:hAnsi="楷体" w:hint="eastAsia"/>
          <w:sz w:val="32"/>
          <w:szCs w:val="32"/>
        </w:rPr>
        <w:t>（二）制度建设情况</w:t>
      </w:r>
    </w:p>
    <w:p w:rsidR="00BE412B" w:rsidRDefault="00BE412B" w:rsidP="00BE41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E412B">
        <w:rPr>
          <w:rFonts w:ascii="仿宋_GB2312" w:eastAsia="仿宋_GB2312"/>
          <w:sz w:val="32"/>
          <w:szCs w:val="32"/>
        </w:rPr>
        <w:t>为规范信息网上公开程序，保证信息公开日常工作的顺利开展，依据《中华人民共和国信息公开条例（</w:t>
      </w:r>
      <w:r w:rsidRPr="00BE412B">
        <w:rPr>
          <w:rFonts w:ascii="仿宋_GB2312" w:eastAsia="仿宋_GB2312" w:hint="eastAsia"/>
          <w:sz w:val="32"/>
          <w:szCs w:val="32"/>
        </w:rPr>
        <w:t>2019年修订）》的要求，</w:t>
      </w:r>
      <w:r>
        <w:rPr>
          <w:rFonts w:ascii="仿宋_GB2312" w:eastAsia="仿宋_GB2312" w:hint="eastAsia"/>
          <w:sz w:val="32"/>
          <w:szCs w:val="32"/>
        </w:rPr>
        <w:t>市金融监管局切实加强对政府信息公开工作的制度保障，制定《太仓市地方金融监督管理局信息公开暂行办法》、《太仓市地方金融监督管理局信息公开保密审查制度》，落实责任细化要求，</w:t>
      </w:r>
      <w:r w:rsidR="00430096" w:rsidRPr="00430096">
        <w:rPr>
          <w:rFonts w:ascii="仿宋_GB2312" w:eastAsia="仿宋_GB2312" w:hint="eastAsia"/>
          <w:sz w:val="32"/>
          <w:szCs w:val="32"/>
        </w:rPr>
        <w:t>对拟公开的政务信息严格把关，逐级审批，确保符合国家法律政策规定，确保公开内容真实有效，确保</w:t>
      </w:r>
      <w:r w:rsidR="00430096" w:rsidRPr="00430096">
        <w:rPr>
          <w:rFonts w:ascii="仿宋_GB2312" w:eastAsia="仿宋_GB2312" w:hint="eastAsia"/>
          <w:sz w:val="32"/>
          <w:szCs w:val="32"/>
        </w:rPr>
        <w:lastRenderedPageBreak/>
        <w:t>各项行为有章可循，</w:t>
      </w:r>
      <w:r>
        <w:rPr>
          <w:rFonts w:ascii="仿宋_GB2312" w:eastAsia="仿宋_GB2312" w:hint="eastAsia"/>
          <w:sz w:val="32"/>
          <w:szCs w:val="32"/>
        </w:rPr>
        <w:t>规范本局政府信息公开工作。</w:t>
      </w:r>
    </w:p>
    <w:p w:rsidR="00BE412B" w:rsidRPr="00430096" w:rsidRDefault="00BE412B" w:rsidP="00BE412B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430096">
        <w:rPr>
          <w:rFonts w:ascii="楷体" w:eastAsia="楷体" w:hAnsi="楷体" w:hint="eastAsia"/>
          <w:sz w:val="32"/>
          <w:szCs w:val="32"/>
        </w:rPr>
        <w:t>（三）</w:t>
      </w:r>
      <w:proofErr w:type="gramStart"/>
      <w:r w:rsidRPr="00430096">
        <w:rPr>
          <w:rFonts w:ascii="楷体" w:eastAsia="楷体" w:hAnsi="楷体" w:hint="eastAsia"/>
          <w:sz w:val="32"/>
          <w:szCs w:val="32"/>
        </w:rPr>
        <w:t>政民互动</w:t>
      </w:r>
      <w:proofErr w:type="gramEnd"/>
      <w:r w:rsidRPr="00430096">
        <w:rPr>
          <w:rFonts w:ascii="楷体" w:eastAsia="楷体" w:hAnsi="楷体" w:hint="eastAsia"/>
          <w:sz w:val="32"/>
          <w:szCs w:val="32"/>
        </w:rPr>
        <w:t>情况</w:t>
      </w:r>
    </w:p>
    <w:p w:rsidR="00BE412B" w:rsidRDefault="00BE412B" w:rsidP="00BE412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本年度围绕“金融服务实体经济融资畅通工程”主题</w:t>
      </w:r>
      <w:r w:rsidR="00430096">
        <w:rPr>
          <w:rFonts w:ascii="仿宋_GB2312" w:eastAsia="仿宋_GB2312" w:hint="eastAsia"/>
          <w:sz w:val="32"/>
          <w:szCs w:val="32"/>
        </w:rPr>
        <w:t>，充分运用新闻发布会</w:t>
      </w:r>
      <w:r w:rsidR="00E70123">
        <w:rPr>
          <w:rFonts w:ascii="仿宋_GB2312" w:eastAsia="仿宋_GB2312" w:hint="eastAsia"/>
          <w:sz w:val="32"/>
          <w:szCs w:val="32"/>
        </w:rPr>
        <w:t>介绍</w:t>
      </w:r>
      <w:r w:rsidR="00430096">
        <w:rPr>
          <w:rFonts w:ascii="仿宋_GB2312" w:eastAsia="仿宋_GB2312" w:hint="eastAsia"/>
          <w:sz w:val="32"/>
          <w:szCs w:val="32"/>
        </w:rPr>
        <w:t>我市金融服务实体经济</w:t>
      </w:r>
      <w:r w:rsidR="00E70123">
        <w:rPr>
          <w:rFonts w:ascii="仿宋_GB2312" w:eastAsia="仿宋_GB2312" w:hint="eastAsia"/>
          <w:sz w:val="32"/>
          <w:szCs w:val="32"/>
        </w:rPr>
        <w:t>工作基本情况及取得成效。</w:t>
      </w:r>
      <w:r w:rsidR="00E70123" w:rsidRPr="00E70123">
        <w:rPr>
          <w:rFonts w:ascii="仿宋_GB2312" w:eastAsia="仿宋_GB2312" w:hint="eastAsia"/>
          <w:sz w:val="32"/>
          <w:szCs w:val="32"/>
        </w:rPr>
        <w:t>加强与太仓日报、太仓电视台的联系与合作，利用各类媒体深入社区、企业开展宣传</w:t>
      </w:r>
      <w:r w:rsidR="00E70123">
        <w:rPr>
          <w:rFonts w:ascii="仿宋_GB2312" w:eastAsia="仿宋_GB2312" w:hint="eastAsia"/>
          <w:sz w:val="32"/>
          <w:szCs w:val="32"/>
        </w:rPr>
        <w:t>，本年度在太仓日报发布整版公开信息</w:t>
      </w:r>
      <w:r w:rsidR="0040663F">
        <w:rPr>
          <w:rFonts w:ascii="仿宋_GB2312" w:eastAsia="仿宋_GB2312" w:hint="eastAsia"/>
          <w:sz w:val="32"/>
          <w:szCs w:val="32"/>
        </w:rPr>
        <w:t>4</w:t>
      </w:r>
      <w:r w:rsidR="00E70123">
        <w:rPr>
          <w:rFonts w:ascii="仿宋_GB2312" w:eastAsia="仿宋_GB2312" w:hint="eastAsia"/>
          <w:sz w:val="32"/>
          <w:szCs w:val="32"/>
        </w:rPr>
        <w:t>版，通讯信息</w:t>
      </w:r>
      <w:r w:rsidR="00D040B8">
        <w:rPr>
          <w:rFonts w:ascii="仿宋_GB2312" w:eastAsia="仿宋_GB2312" w:hint="eastAsia"/>
          <w:sz w:val="32"/>
          <w:szCs w:val="32"/>
        </w:rPr>
        <w:t>10</w:t>
      </w:r>
      <w:r w:rsidR="00E70123">
        <w:rPr>
          <w:rFonts w:ascii="仿宋_GB2312" w:eastAsia="仿宋_GB2312" w:hint="eastAsia"/>
          <w:sz w:val="32"/>
          <w:szCs w:val="32"/>
        </w:rPr>
        <w:t>篇</w:t>
      </w:r>
      <w:r w:rsidR="00E70123" w:rsidRPr="00E70123">
        <w:rPr>
          <w:rFonts w:ascii="仿宋_GB2312" w:eastAsia="仿宋_GB2312" w:hint="eastAsia"/>
          <w:sz w:val="32"/>
          <w:szCs w:val="32"/>
        </w:rPr>
        <w:t>。</w:t>
      </w:r>
      <w:proofErr w:type="gramStart"/>
      <w:r w:rsidR="00E70123">
        <w:rPr>
          <w:rFonts w:ascii="仿宋_GB2312" w:eastAsia="仿宋_GB2312" w:hint="eastAsia"/>
          <w:sz w:val="32"/>
          <w:szCs w:val="32"/>
        </w:rPr>
        <w:t>制作局</w:t>
      </w:r>
      <w:proofErr w:type="gramEnd"/>
      <w:r w:rsidR="00E70123">
        <w:rPr>
          <w:rFonts w:ascii="仿宋_GB2312" w:eastAsia="仿宋_GB2312" w:hint="eastAsia"/>
          <w:sz w:val="32"/>
          <w:szCs w:val="32"/>
        </w:rPr>
        <w:t>宣传片，积极开展机关开放日活动，</w:t>
      </w:r>
      <w:r w:rsidR="00430096">
        <w:rPr>
          <w:rFonts w:ascii="仿宋_GB2312" w:eastAsia="仿宋_GB2312" w:hint="eastAsia"/>
          <w:sz w:val="32"/>
          <w:szCs w:val="32"/>
        </w:rPr>
        <w:t>有效提</w:t>
      </w:r>
      <w:bookmarkStart w:id="0" w:name="_GoBack"/>
      <w:bookmarkEnd w:id="0"/>
      <w:r w:rsidR="00430096">
        <w:rPr>
          <w:rFonts w:ascii="仿宋_GB2312" w:eastAsia="仿宋_GB2312" w:hint="eastAsia"/>
          <w:sz w:val="32"/>
          <w:szCs w:val="32"/>
        </w:rPr>
        <w:t>升金融服务水平</w:t>
      </w:r>
      <w:r w:rsidR="00E7012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70123">
        <w:rPr>
          <w:rFonts w:ascii="Times New Roman" w:eastAsia="仿宋_GB2312" w:hAnsi="Times New Roman" w:cs="Times New Roman"/>
          <w:sz w:val="32"/>
          <w:szCs w:val="32"/>
        </w:rPr>
        <w:t>多形式传递政声</w:t>
      </w:r>
      <w:r w:rsidR="00E70123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E70123">
        <w:rPr>
          <w:rFonts w:ascii="Times New Roman" w:eastAsia="仿宋_GB2312" w:hAnsi="Times New Roman" w:cs="Times New Roman"/>
          <w:sz w:val="32"/>
          <w:szCs w:val="32"/>
        </w:rPr>
        <w:t>广纳民意</w:t>
      </w:r>
      <w:r w:rsidR="00E70123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70123" w:rsidRPr="00E70123" w:rsidRDefault="00E70123" w:rsidP="00BE412B">
      <w:pPr>
        <w:spacing w:line="60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E70123">
        <w:rPr>
          <w:rFonts w:ascii="楷体" w:eastAsia="楷体" w:hAnsi="楷体" w:cs="Times New Roman" w:hint="eastAsia"/>
          <w:sz w:val="32"/>
          <w:szCs w:val="32"/>
        </w:rPr>
        <w:t>（四）教育培训情况</w:t>
      </w:r>
    </w:p>
    <w:p w:rsidR="00E70123" w:rsidRDefault="00E70123" w:rsidP="00BE412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自2019年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中华</w:t>
      </w:r>
      <w:r>
        <w:rPr>
          <w:rFonts w:ascii="仿宋_GB2312" w:eastAsia="仿宋_GB2312"/>
          <w:sz w:val="32"/>
          <w:szCs w:val="32"/>
        </w:rPr>
        <w:t>人民共和国政府信息公开条例》</w:t>
      </w:r>
      <w:r>
        <w:rPr>
          <w:rFonts w:ascii="仿宋_GB2312" w:eastAsia="仿宋_GB2312" w:hint="eastAsia"/>
          <w:sz w:val="32"/>
          <w:szCs w:val="32"/>
        </w:rPr>
        <w:t>修订</w:t>
      </w:r>
      <w:r>
        <w:rPr>
          <w:rFonts w:ascii="仿宋_GB2312" w:eastAsia="仿宋_GB2312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，太仓市地方</w:t>
      </w:r>
      <w:r>
        <w:rPr>
          <w:rFonts w:ascii="仿宋_GB2312" w:eastAsia="仿宋_GB2312"/>
          <w:sz w:val="32"/>
          <w:szCs w:val="32"/>
        </w:rPr>
        <w:t>金融监督管理局</w:t>
      </w:r>
      <w:r>
        <w:rPr>
          <w:rFonts w:ascii="仿宋_GB2312" w:eastAsia="仿宋_GB2312" w:hint="eastAsia"/>
          <w:sz w:val="32"/>
          <w:szCs w:val="32"/>
        </w:rPr>
        <w:t>通过积极参与全市政府信息公开培训会，内部</w:t>
      </w:r>
      <w:r>
        <w:rPr>
          <w:rFonts w:ascii="仿宋_GB2312" w:eastAsia="仿宋_GB2312"/>
          <w:sz w:val="32"/>
          <w:szCs w:val="32"/>
        </w:rPr>
        <w:t>组织开展集中培训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自学相结合等形式，</w:t>
      </w:r>
      <w:r>
        <w:rPr>
          <w:rFonts w:ascii="仿宋_GB2312" w:eastAsia="仿宋_GB2312" w:hint="eastAsia"/>
          <w:sz w:val="32"/>
          <w:szCs w:val="32"/>
        </w:rPr>
        <w:t>认真学习梳理新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逐项条款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针对</w:t>
      </w:r>
      <w:r>
        <w:rPr>
          <w:rFonts w:ascii="仿宋_GB2312" w:eastAsia="仿宋_GB2312" w:hint="eastAsia"/>
          <w:sz w:val="32"/>
          <w:szCs w:val="32"/>
        </w:rPr>
        <w:t>新旧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条例</w:t>
      </w:r>
      <w:r>
        <w:rPr>
          <w:rFonts w:ascii="仿宋_GB2312" w:eastAsia="仿宋_GB2312"/>
          <w:sz w:val="32"/>
          <w:szCs w:val="32"/>
        </w:rPr>
        <w:t>》变化的</w:t>
      </w:r>
      <w:r>
        <w:rPr>
          <w:rFonts w:ascii="仿宋_GB2312" w:eastAsia="仿宋_GB2312" w:hint="eastAsia"/>
          <w:sz w:val="32"/>
          <w:szCs w:val="32"/>
        </w:rPr>
        <w:t>程序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时限、</w:t>
      </w:r>
      <w:r>
        <w:rPr>
          <w:rFonts w:ascii="仿宋_GB2312" w:eastAsia="仿宋_GB2312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等开展了</w:t>
      </w:r>
      <w:r>
        <w:rPr>
          <w:rFonts w:ascii="仿宋_GB2312" w:eastAsia="仿宋_GB2312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讨论，加深对新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的掌握，提高信息公开业务水平，提升我局政务信息公开质量</w:t>
      </w:r>
      <w:r>
        <w:rPr>
          <w:rFonts w:ascii="仿宋_GB2312" w:eastAsia="仿宋_GB2312"/>
          <w:sz w:val="32"/>
          <w:szCs w:val="32"/>
        </w:rPr>
        <w:t>。</w:t>
      </w:r>
    </w:p>
    <w:p w:rsidR="00E70123" w:rsidRPr="009F4D57" w:rsidRDefault="00E70123" w:rsidP="00BE412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4D57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896"/>
        <w:gridCol w:w="1713"/>
        <w:gridCol w:w="1881"/>
      </w:tblGrid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本年增/减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6F49B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金额</w:t>
            </w:r>
          </w:p>
        </w:tc>
      </w:tr>
      <w:tr w:rsidR="00E70123" w:rsidTr="00927C21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927C21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E70123" w:rsidP="006F49B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123" w:rsidRDefault="009F4D57" w:rsidP="00927C2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E70123" w:rsidRPr="009F4D57" w:rsidRDefault="009F4D57" w:rsidP="00BE412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F4D57">
        <w:rPr>
          <w:rFonts w:ascii="黑体" w:eastAsia="黑体" w:hAnsi="黑体"/>
          <w:sz w:val="32"/>
          <w:szCs w:val="32"/>
        </w:rPr>
        <w:t>三</w:t>
      </w:r>
      <w:r w:rsidRPr="009F4D57">
        <w:rPr>
          <w:rFonts w:ascii="黑体" w:eastAsia="黑体" w:hAnsi="黑体" w:hint="eastAsia"/>
          <w:sz w:val="32"/>
          <w:szCs w:val="32"/>
        </w:rPr>
        <w:t>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295"/>
        <w:gridCol w:w="660"/>
        <w:gridCol w:w="765"/>
        <w:gridCol w:w="765"/>
        <w:gridCol w:w="825"/>
        <w:gridCol w:w="990"/>
        <w:gridCol w:w="720"/>
        <w:gridCol w:w="702"/>
      </w:tblGrid>
      <w:tr w:rsidR="009F4D57" w:rsidTr="009F4D57">
        <w:trPr>
          <w:jc w:val="center"/>
        </w:trPr>
        <w:tc>
          <w:tcPr>
            <w:tcW w:w="36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4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sz w:val="20"/>
                <w:szCs w:val="20"/>
              </w:rPr>
              <w:t>稳定”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9F4D57" w:rsidTr="009F4D57">
        <w:trPr>
          <w:jc w:val="center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F4D5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9F4D57" w:rsidRPr="009F4D57" w:rsidRDefault="009F4D57" w:rsidP="00CD4654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9F4D57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9F4D57" w:rsidTr="00927C2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9F4D57" w:rsidTr="00927C2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9F4D57" w:rsidTr="00927C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4D57" w:rsidRDefault="009F4D57" w:rsidP="00927C21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总计</w:t>
            </w:r>
          </w:p>
        </w:tc>
      </w:tr>
      <w:tr w:rsidR="009F4D57" w:rsidTr="00927C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27C2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D57" w:rsidRDefault="009F4D57" w:rsidP="009F4D57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</w:tbl>
    <w:p w:rsidR="008667E9" w:rsidRDefault="009F4D57" w:rsidP="008667E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 xml:space="preserve">  </w:t>
      </w:r>
      <w:r w:rsidR="00A53F37">
        <w:rPr>
          <w:rFonts w:ascii="方正小标宋简体" w:eastAsia="方正小标宋简体" w:hAnsi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hint="eastAsia"/>
          <w:sz w:val="32"/>
          <w:szCs w:val="32"/>
        </w:rPr>
        <w:t xml:space="preserve"> 五</w:t>
      </w:r>
      <w:r w:rsidRPr="009F4D57">
        <w:rPr>
          <w:rFonts w:ascii="黑体" w:eastAsia="黑体" w:hAnsi="黑体" w:hint="eastAsia"/>
          <w:sz w:val="32"/>
          <w:szCs w:val="32"/>
        </w:rPr>
        <w:t>、存在的主要问题及改进情况</w:t>
      </w:r>
    </w:p>
    <w:p w:rsidR="009F4D57" w:rsidRDefault="009F4D57" w:rsidP="00A53F37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F4D57">
        <w:rPr>
          <w:rFonts w:ascii="仿宋_GB2312" w:eastAsia="仿宋_GB2312" w:hint="eastAsia"/>
          <w:sz w:val="32"/>
          <w:szCs w:val="32"/>
        </w:rPr>
        <w:t>2019年，我局</w:t>
      </w:r>
      <w:r w:rsidR="00A53F37">
        <w:rPr>
          <w:rFonts w:ascii="仿宋_GB2312" w:eastAsia="仿宋_GB2312" w:hint="eastAsia"/>
          <w:sz w:val="32"/>
          <w:szCs w:val="32"/>
        </w:rPr>
        <w:t>的</w:t>
      </w:r>
      <w:r w:rsidRPr="009F4D57">
        <w:rPr>
          <w:rFonts w:ascii="仿宋_GB2312" w:eastAsia="仿宋_GB2312" w:hint="eastAsia"/>
          <w:sz w:val="32"/>
          <w:szCs w:val="32"/>
        </w:rPr>
        <w:t>政府信息公开工作</w:t>
      </w:r>
      <w:r w:rsidR="00A53F37">
        <w:rPr>
          <w:rFonts w:ascii="仿宋_GB2312" w:eastAsia="仿宋_GB2312" w:hint="eastAsia"/>
          <w:sz w:val="32"/>
          <w:szCs w:val="32"/>
        </w:rPr>
        <w:t>处于刚起步状态</w:t>
      </w:r>
      <w:r w:rsidRPr="009F4D57">
        <w:rPr>
          <w:rFonts w:ascii="仿宋_GB2312" w:eastAsia="仿宋_GB2312" w:hint="eastAsia"/>
          <w:sz w:val="32"/>
          <w:szCs w:val="32"/>
        </w:rPr>
        <w:t>，</w:t>
      </w:r>
      <w:r w:rsidR="00A53F37">
        <w:rPr>
          <w:rFonts w:ascii="仿宋_GB2312" w:eastAsia="仿宋_GB2312" w:hint="eastAsia"/>
          <w:sz w:val="32"/>
          <w:szCs w:val="32"/>
        </w:rPr>
        <w:t>取得了一定的成效，</w:t>
      </w:r>
      <w:r w:rsidRPr="009F4D57">
        <w:rPr>
          <w:rFonts w:ascii="仿宋_GB2312" w:eastAsia="仿宋_GB2312" w:hint="eastAsia"/>
          <w:sz w:val="32"/>
          <w:szCs w:val="32"/>
        </w:rPr>
        <w:t>但与公众日益增长的</w:t>
      </w:r>
      <w:r w:rsidR="00A53F37">
        <w:rPr>
          <w:rFonts w:ascii="仿宋_GB2312" w:eastAsia="仿宋_GB2312" w:hint="eastAsia"/>
          <w:sz w:val="32"/>
          <w:szCs w:val="32"/>
        </w:rPr>
        <w:t>金融</w:t>
      </w:r>
      <w:r w:rsidRPr="009F4D57">
        <w:rPr>
          <w:rFonts w:ascii="仿宋_GB2312" w:eastAsia="仿宋_GB2312" w:hint="eastAsia"/>
          <w:sz w:val="32"/>
          <w:szCs w:val="32"/>
        </w:rPr>
        <w:t>信息需求还有</w:t>
      </w:r>
      <w:r w:rsidR="00A53F37">
        <w:rPr>
          <w:rFonts w:ascii="仿宋_GB2312" w:eastAsia="仿宋_GB2312" w:hint="eastAsia"/>
          <w:sz w:val="32"/>
          <w:szCs w:val="32"/>
        </w:rPr>
        <w:t>较大</w:t>
      </w:r>
      <w:r w:rsidRPr="009F4D57">
        <w:rPr>
          <w:rFonts w:ascii="仿宋_GB2312" w:eastAsia="仿宋_GB2312" w:hint="eastAsia"/>
          <w:sz w:val="32"/>
          <w:szCs w:val="32"/>
        </w:rPr>
        <w:t>差距，主要表现在：政</w:t>
      </w:r>
      <w:r w:rsidR="00A53F37">
        <w:rPr>
          <w:rFonts w:ascii="仿宋_GB2312" w:eastAsia="仿宋_GB2312" w:hint="eastAsia"/>
          <w:sz w:val="32"/>
          <w:szCs w:val="32"/>
        </w:rPr>
        <w:t>府信息公开的渠道有待拓展；公开栏目不够全面，公开力度离公众的期望还有一定差距</w:t>
      </w:r>
      <w:r w:rsidRPr="009F4D57">
        <w:rPr>
          <w:rFonts w:ascii="仿宋_GB2312" w:eastAsia="仿宋_GB2312" w:hint="eastAsia"/>
          <w:sz w:val="32"/>
          <w:szCs w:val="32"/>
        </w:rPr>
        <w:t>。</w:t>
      </w:r>
      <w:r w:rsidR="00A53F37">
        <w:rPr>
          <w:rFonts w:ascii="仿宋_GB2312" w:eastAsia="仿宋_GB2312" w:hint="eastAsia"/>
          <w:sz w:val="32"/>
          <w:szCs w:val="32"/>
        </w:rPr>
        <w:t>下阶段我局将重点做好以下工作：</w:t>
      </w:r>
    </w:p>
    <w:p w:rsidR="00A53F37" w:rsidRDefault="00A53F37" w:rsidP="00A53F37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81A0A">
        <w:rPr>
          <w:rFonts w:ascii="楷体" w:eastAsia="楷体" w:hAnsi="楷体" w:hint="eastAsia"/>
          <w:sz w:val="32"/>
          <w:szCs w:val="32"/>
        </w:rPr>
        <w:t>（一）深化规范性建设</w:t>
      </w:r>
      <w:r w:rsidR="00C81A0A" w:rsidRPr="00C81A0A">
        <w:rPr>
          <w:rFonts w:ascii="楷体" w:eastAsia="楷体" w:hAnsi="楷体" w:hint="eastAsia"/>
          <w:sz w:val="32"/>
          <w:szCs w:val="32"/>
        </w:rPr>
        <w:t>，加强队伍保障</w:t>
      </w:r>
      <w:r w:rsidRPr="00C81A0A">
        <w:rPr>
          <w:rFonts w:ascii="楷体" w:eastAsia="楷体" w:hAnsi="楷体" w:hint="eastAsia"/>
          <w:sz w:val="32"/>
          <w:szCs w:val="32"/>
        </w:rPr>
        <w:t>。</w:t>
      </w:r>
      <w:r w:rsidR="00C81A0A" w:rsidRPr="00C81A0A">
        <w:rPr>
          <w:rFonts w:ascii="仿宋_GB2312" w:eastAsia="仿宋_GB2312" w:hint="eastAsia"/>
          <w:sz w:val="32"/>
          <w:szCs w:val="32"/>
        </w:rPr>
        <w:t>深入学习《中华人民共和国信息公开条例（2019年修订）》和上级关于政府信息公开有关规定，进一步提高对政府信息公开工作重要性和必要性的认识，增强工作的主动性和自觉性。进一步完善信息发布审查制度、保密制度、责任追究制度和依申请公开答复制度，逐步编制政府信息主动公开、依申请公开、</w:t>
      </w:r>
      <w:proofErr w:type="gramStart"/>
      <w:r w:rsidR="00C81A0A" w:rsidRPr="00C81A0A">
        <w:rPr>
          <w:rFonts w:ascii="仿宋_GB2312" w:eastAsia="仿宋_GB2312" w:hint="eastAsia"/>
          <w:sz w:val="32"/>
          <w:szCs w:val="32"/>
        </w:rPr>
        <w:t>法定不</w:t>
      </w:r>
      <w:proofErr w:type="gramEnd"/>
      <w:r w:rsidR="00C81A0A" w:rsidRPr="00C81A0A">
        <w:rPr>
          <w:rFonts w:ascii="仿宋_GB2312" w:eastAsia="仿宋_GB2312" w:hint="eastAsia"/>
          <w:sz w:val="32"/>
          <w:szCs w:val="32"/>
        </w:rPr>
        <w:t>公开清单和依申请公开答复标准化文书。积极参加上级组织的政府信息公开工作培训，提高政务信息依申请公开工作的准确性和规范性。</w:t>
      </w:r>
    </w:p>
    <w:p w:rsidR="00C81A0A" w:rsidRDefault="00C81A0A" w:rsidP="00A53F37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81A0A">
        <w:rPr>
          <w:rFonts w:ascii="楷体" w:eastAsia="楷体" w:hAnsi="楷体" w:hint="eastAsia"/>
          <w:sz w:val="32"/>
          <w:szCs w:val="32"/>
        </w:rPr>
        <w:t>（二）梳理公开目录，拓展公开渠道。</w:t>
      </w:r>
      <w:r w:rsidRPr="00C81A0A">
        <w:rPr>
          <w:rFonts w:ascii="仿宋_GB2312" w:eastAsia="仿宋_GB2312" w:hint="eastAsia"/>
          <w:sz w:val="32"/>
          <w:szCs w:val="32"/>
        </w:rPr>
        <w:t>认真对照市政府发布的政务公开工作要点实施方案，进一步梳理政府信息，对原有的政府信息公开目录进行补充完善，保证公开信息的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完整性和准确性。</w:t>
      </w:r>
      <w:r>
        <w:rPr>
          <w:rFonts w:ascii="仿宋_GB2312" w:eastAsia="仿宋_GB2312" w:hint="eastAsia"/>
          <w:sz w:val="32"/>
          <w:szCs w:val="32"/>
        </w:rPr>
        <w:t>以群众需求为导向，探索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等新媒体力量，针对公众关注的普惠金融、非法金融及金融平台等领域重点挖掘，在</w:t>
      </w:r>
      <w:r w:rsidRPr="00C81A0A">
        <w:rPr>
          <w:rFonts w:ascii="仿宋_GB2312" w:eastAsia="仿宋_GB2312" w:hint="eastAsia"/>
          <w:sz w:val="32"/>
          <w:szCs w:val="32"/>
        </w:rPr>
        <w:t>完善政务公开工作的基础上，积极创新，打造工作亮点，</w:t>
      </w:r>
      <w:r>
        <w:rPr>
          <w:rFonts w:ascii="仿宋_GB2312" w:eastAsia="仿宋_GB2312" w:hint="eastAsia"/>
          <w:sz w:val="32"/>
          <w:szCs w:val="32"/>
        </w:rPr>
        <w:t>通过政务信息公开有效提升金融服务水平。</w:t>
      </w:r>
    </w:p>
    <w:p w:rsidR="00C81A0A" w:rsidRPr="006F49B8" w:rsidRDefault="00C81A0A" w:rsidP="00A53F37">
      <w:pPr>
        <w:spacing w:line="58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6F49B8">
        <w:rPr>
          <w:rFonts w:ascii="黑体" w:eastAsia="黑体" w:hAnsi="黑体"/>
          <w:sz w:val="32"/>
          <w:szCs w:val="32"/>
        </w:rPr>
        <w:t>六</w:t>
      </w:r>
      <w:r w:rsidRPr="006F49B8">
        <w:rPr>
          <w:rFonts w:ascii="黑体" w:eastAsia="黑体" w:hAnsi="黑体" w:hint="eastAsia"/>
          <w:sz w:val="32"/>
          <w:szCs w:val="32"/>
        </w:rPr>
        <w:t>、</w:t>
      </w:r>
      <w:r w:rsidRPr="006F49B8">
        <w:rPr>
          <w:rFonts w:ascii="黑体" w:eastAsia="黑体" w:hAnsi="黑体"/>
          <w:sz w:val="32"/>
          <w:szCs w:val="32"/>
        </w:rPr>
        <w:t>其他需要报告的事项</w:t>
      </w:r>
    </w:p>
    <w:p w:rsidR="00C81A0A" w:rsidRDefault="006F49B8" w:rsidP="006F49B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F49B8">
        <w:rPr>
          <w:rFonts w:ascii="仿宋_GB2312" w:eastAsia="仿宋_GB2312" w:hint="eastAsia"/>
          <w:sz w:val="32"/>
          <w:szCs w:val="32"/>
        </w:rPr>
        <w:t>2019年，我局共</w:t>
      </w:r>
      <w:r>
        <w:rPr>
          <w:rFonts w:ascii="仿宋_GB2312" w:eastAsia="仿宋_GB2312" w:hint="eastAsia"/>
          <w:sz w:val="32"/>
          <w:szCs w:val="32"/>
        </w:rPr>
        <w:t>承办</w:t>
      </w:r>
      <w:r w:rsidRPr="006F49B8">
        <w:rPr>
          <w:rFonts w:ascii="仿宋_GB2312" w:eastAsia="仿宋_GB2312" w:hint="eastAsia"/>
          <w:sz w:val="32"/>
          <w:szCs w:val="32"/>
        </w:rPr>
        <w:t>市政协委员提案</w:t>
      </w:r>
      <w:r>
        <w:rPr>
          <w:rFonts w:ascii="仿宋_GB2312" w:eastAsia="仿宋_GB2312" w:hint="eastAsia"/>
          <w:sz w:val="32"/>
          <w:szCs w:val="32"/>
        </w:rPr>
        <w:t>3</w:t>
      </w:r>
      <w:r w:rsidRPr="006F49B8">
        <w:rPr>
          <w:rFonts w:ascii="仿宋_GB2312" w:eastAsia="仿宋_GB2312" w:hint="eastAsia"/>
          <w:sz w:val="32"/>
          <w:szCs w:val="32"/>
        </w:rPr>
        <w:t>件，全部按时办结答复，</w:t>
      </w:r>
      <w:r>
        <w:rPr>
          <w:rFonts w:ascii="仿宋_GB2312" w:eastAsia="仿宋_GB2312" w:hint="eastAsia"/>
          <w:sz w:val="32"/>
          <w:szCs w:val="32"/>
        </w:rPr>
        <w:t>完成</w:t>
      </w:r>
      <w:r w:rsidRPr="006F49B8">
        <w:rPr>
          <w:rFonts w:ascii="仿宋_GB2312" w:eastAsia="仿宋_GB2312" w:hint="eastAsia"/>
          <w:sz w:val="32"/>
          <w:szCs w:val="32"/>
        </w:rPr>
        <w:t>建议提案办理任务。</w:t>
      </w:r>
    </w:p>
    <w:p w:rsidR="006F49B8" w:rsidRDefault="006F49B8" w:rsidP="006F49B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F49B8" w:rsidRDefault="006F49B8" w:rsidP="006F49B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F49B8" w:rsidRDefault="006F49B8" w:rsidP="006F49B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6F49B8" w:rsidRDefault="006F49B8" w:rsidP="006F49B8">
      <w:pPr>
        <w:spacing w:line="580" w:lineRule="exact"/>
        <w:ind w:firstLineChars="1300" w:firstLine="4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太仓市地方金融监督管理局</w:t>
      </w:r>
    </w:p>
    <w:p w:rsidR="006F49B8" w:rsidRPr="00C81A0A" w:rsidRDefault="006F49B8" w:rsidP="006F49B8">
      <w:pPr>
        <w:spacing w:line="580" w:lineRule="exact"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2020年1月29日</w:t>
      </w:r>
    </w:p>
    <w:sectPr w:rsidR="006F49B8" w:rsidRPr="00C81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E2" w:rsidRDefault="008B05E2" w:rsidP="00B343DD">
      <w:r>
        <w:separator/>
      </w:r>
    </w:p>
  </w:endnote>
  <w:endnote w:type="continuationSeparator" w:id="0">
    <w:p w:rsidR="008B05E2" w:rsidRDefault="008B05E2" w:rsidP="00B3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E2" w:rsidRDefault="008B05E2" w:rsidP="00B343DD">
      <w:r>
        <w:separator/>
      </w:r>
    </w:p>
  </w:footnote>
  <w:footnote w:type="continuationSeparator" w:id="0">
    <w:p w:rsidR="008B05E2" w:rsidRDefault="008B05E2" w:rsidP="00B3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E9"/>
    <w:rsid w:val="00117D1E"/>
    <w:rsid w:val="001B3479"/>
    <w:rsid w:val="003054EB"/>
    <w:rsid w:val="0040663F"/>
    <w:rsid w:val="00430096"/>
    <w:rsid w:val="005C0DC5"/>
    <w:rsid w:val="005D1016"/>
    <w:rsid w:val="00674C09"/>
    <w:rsid w:val="006C47A0"/>
    <w:rsid w:val="006F49B8"/>
    <w:rsid w:val="007802AB"/>
    <w:rsid w:val="008667E9"/>
    <w:rsid w:val="008B05E2"/>
    <w:rsid w:val="009F4D57"/>
    <w:rsid w:val="00A53F37"/>
    <w:rsid w:val="00AC272C"/>
    <w:rsid w:val="00B343DD"/>
    <w:rsid w:val="00BE412B"/>
    <w:rsid w:val="00C22183"/>
    <w:rsid w:val="00C81A0A"/>
    <w:rsid w:val="00CC4BC8"/>
    <w:rsid w:val="00CD4654"/>
    <w:rsid w:val="00CF18EB"/>
    <w:rsid w:val="00D040B8"/>
    <w:rsid w:val="00D06403"/>
    <w:rsid w:val="00D274E7"/>
    <w:rsid w:val="00E70123"/>
    <w:rsid w:val="00E925BD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3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4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43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4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4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6</Pages>
  <Words>499</Words>
  <Characters>2847</Characters>
  <Application>Microsoft Office Word</Application>
  <DocSecurity>0</DocSecurity>
  <Lines>23</Lines>
  <Paragraphs>6</Paragraphs>
  <ScaleCrop>false</ScaleCrop>
  <Company>HP Inc.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张长余</dc:creator>
  <cp:lastModifiedBy>吴亮</cp:lastModifiedBy>
  <cp:revision>5</cp:revision>
  <dcterms:created xsi:type="dcterms:W3CDTF">2020-01-20T09:08:00Z</dcterms:created>
  <dcterms:modified xsi:type="dcterms:W3CDTF">2020-02-03T07:00:00Z</dcterms:modified>
</cp:coreProperties>
</file>