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rPr>
      </w:pPr>
      <w:r>
        <w:rPr>
          <w:rFonts w:hint="eastAsia"/>
          <w:b/>
          <w:sz w:val="44"/>
          <w:szCs w:val="44"/>
        </w:rPr>
        <w:t>太仓市人民政府</w:t>
      </w:r>
    </w:p>
    <w:p>
      <w:pPr>
        <w:spacing w:line="560" w:lineRule="exact"/>
        <w:rPr>
          <w:rFonts w:eastAsia="黑体"/>
          <w:sz w:val="44"/>
          <w:u w:val="thick"/>
        </w:rPr>
      </w:pPr>
      <w:r>
        <w:rPr>
          <w:rFonts w:eastAsia="黑体"/>
          <w:sz w:val="44"/>
          <w:u w:val="thick"/>
        </w:rPr>
        <w:t xml:space="preserve">                                      </w:t>
      </w:r>
    </w:p>
    <w:p>
      <w:pPr>
        <w:spacing w:line="560" w:lineRule="exact"/>
        <w:jc w:val="center"/>
        <w:rPr>
          <w:rFonts w:ascii="宋体"/>
          <w:b/>
          <w:bCs/>
          <w:sz w:val="36"/>
          <w:szCs w:val="36"/>
        </w:rPr>
      </w:pPr>
    </w:p>
    <w:p>
      <w:pPr>
        <w:spacing w:line="560" w:lineRule="exact"/>
        <w:jc w:val="center"/>
        <w:rPr>
          <w:rFonts w:ascii="宋体"/>
          <w:b/>
          <w:bCs/>
          <w:sz w:val="52"/>
          <w:szCs w:val="52"/>
        </w:rPr>
      </w:pPr>
      <w:r>
        <w:rPr>
          <w:rFonts w:hint="eastAsia" w:ascii="宋体" w:hAnsi="宋体"/>
          <w:b/>
          <w:bCs/>
          <w:sz w:val="52"/>
          <w:szCs w:val="52"/>
        </w:rPr>
        <w:t>行政复议决定书</w:t>
      </w:r>
    </w:p>
    <w:p>
      <w:pPr>
        <w:spacing w:line="580" w:lineRule="exact"/>
        <w:jc w:val="right"/>
        <w:rPr>
          <w:rFonts w:ascii="仿宋_GB2312" w:hAnsi="宋体" w:eastAsia="仿宋_GB2312"/>
          <w:bCs/>
          <w:sz w:val="32"/>
          <w:szCs w:val="32"/>
        </w:rPr>
      </w:pPr>
    </w:p>
    <w:p>
      <w:pPr>
        <w:topLinePunct/>
        <w:adjustRightInd w:val="0"/>
        <w:spacing w:line="580" w:lineRule="exact"/>
        <w:ind w:firstLine="4800" w:firstLineChars="1500"/>
        <w:rPr>
          <w:rFonts w:ascii="仿宋" w:hAnsi="仿宋" w:eastAsia="仿宋"/>
          <w:bCs/>
          <w:kern w:val="0"/>
          <w:sz w:val="32"/>
          <w:szCs w:val="32"/>
        </w:rPr>
      </w:pPr>
      <w:r>
        <w:rPr>
          <w:rFonts w:hint="eastAsia" w:ascii="仿宋" w:hAnsi="仿宋" w:eastAsia="仿宋"/>
          <w:bCs/>
          <w:kern w:val="0"/>
          <w:sz w:val="32"/>
          <w:szCs w:val="32"/>
        </w:rPr>
        <w:t>〔</w:t>
      </w:r>
      <w:r>
        <w:rPr>
          <w:rFonts w:ascii="仿宋" w:hAnsi="仿宋" w:eastAsia="仿宋"/>
          <w:bCs/>
          <w:kern w:val="0"/>
          <w:sz w:val="32"/>
          <w:szCs w:val="32"/>
        </w:rPr>
        <w:t>2019</w:t>
      </w:r>
      <w:r>
        <w:rPr>
          <w:rFonts w:hint="eastAsia" w:ascii="仿宋" w:hAnsi="仿宋" w:eastAsia="仿宋"/>
          <w:bCs/>
          <w:kern w:val="0"/>
          <w:sz w:val="32"/>
          <w:szCs w:val="32"/>
        </w:rPr>
        <w:t>〕太府行复第</w:t>
      </w:r>
      <w:r>
        <w:rPr>
          <w:rFonts w:ascii="仿宋" w:hAnsi="仿宋" w:eastAsia="仿宋"/>
          <w:bCs/>
          <w:kern w:val="0"/>
          <w:sz w:val="32"/>
          <w:szCs w:val="32"/>
        </w:rPr>
        <w:t>17</w:t>
      </w:r>
      <w:r>
        <w:rPr>
          <w:rFonts w:hint="eastAsia" w:ascii="仿宋" w:hAnsi="仿宋" w:eastAsia="仿宋"/>
          <w:bCs/>
          <w:kern w:val="0"/>
          <w:sz w:val="32"/>
          <w:szCs w:val="32"/>
        </w:rPr>
        <w:t>号</w:t>
      </w:r>
    </w:p>
    <w:p>
      <w:pPr>
        <w:topLinePunct/>
        <w:adjustRightInd w:val="0"/>
        <w:spacing w:line="580" w:lineRule="exact"/>
        <w:ind w:firstLine="4800" w:firstLineChars="1500"/>
        <w:rPr>
          <w:rFonts w:ascii="仿宋" w:hAnsi="仿宋" w:eastAsia="仿宋"/>
          <w:bCs/>
          <w:kern w:val="0"/>
          <w:sz w:val="32"/>
          <w:szCs w:val="32"/>
        </w:rPr>
      </w:pP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申请人：余</w:t>
      </w:r>
      <w:r>
        <w:rPr>
          <w:rFonts w:hint="eastAsia" w:ascii="仿宋" w:hAnsi="仿宋" w:eastAsia="仿宋"/>
          <w:bCs/>
          <w:kern w:val="32"/>
          <w:sz w:val="32"/>
          <w:szCs w:val="32"/>
          <w:lang w:eastAsia="zh-CN"/>
        </w:rPr>
        <w:t>某某</w:t>
      </w:r>
      <w:r>
        <w:rPr>
          <w:rFonts w:hint="eastAsia" w:ascii="仿宋" w:hAnsi="仿宋" w:eastAsia="仿宋"/>
          <w:bCs/>
          <w:kern w:val="32"/>
          <w:sz w:val="32"/>
          <w:szCs w:val="32"/>
        </w:rPr>
        <w:t>。</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被申请人：太仓市自然资源和规划局。</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2</w:t>
      </w:r>
      <w:r>
        <w:rPr>
          <w:rFonts w:hint="eastAsia" w:ascii="仿宋" w:hAnsi="仿宋" w:eastAsia="仿宋"/>
          <w:bCs/>
          <w:kern w:val="32"/>
          <w:sz w:val="32"/>
          <w:szCs w:val="32"/>
        </w:rPr>
        <w:t>月</w:t>
      </w:r>
      <w:r>
        <w:rPr>
          <w:rFonts w:ascii="仿宋" w:hAnsi="仿宋" w:eastAsia="仿宋"/>
          <w:bCs/>
          <w:kern w:val="32"/>
          <w:sz w:val="32"/>
          <w:szCs w:val="32"/>
        </w:rPr>
        <w:t>19</w:t>
      </w:r>
      <w:r>
        <w:rPr>
          <w:rFonts w:hint="eastAsia" w:ascii="仿宋" w:hAnsi="仿宋" w:eastAsia="仿宋"/>
          <w:bCs/>
          <w:kern w:val="32"/>
          <w:sz w:val="32"/>
          <w:szCs w:val="32"/>
        </w:rPr>
        <w:t>日向本机关申请行政复议，</w:t>
      </w:r>
      <w:r>
        <w:rPr>
          <w:rFonts w:ascii="仿宋" w:hAnsi="仿宋" w:eastAsia="仿宋"/>
          <w:bCs/>
          <w:kern w:val="32"/>
          <w:sz w:val="32"/>
          <w:szCs w:val="32"/>
        </w:rPr>
        <w:t>3</w:t>
      </w:r>
      <w:r>
        <w:rPr>
          <w:rFonts w:hint="eastAsia" w:ascii="仿宋" w:hAnsi="仿宋" w:eastAsia="仿宋"/>
          <w:bCs/>
          <w:kern w:val="32"/>
          <w:sz w:val="32"/>
          <w:szCs w:val="32"/>
        </w:rPr>
        <w:t>月</w:t>
      </w:r>
      <w:r>
        <w:rPr>
          <w:rFonts w:ascii="仿宋" w:hAnsi="仿宋" w:eastAsia="仿宋"/>
          <w:bCs/>
          <w:kern w:val="32"/>
          <w:sz w:val="32"/>
          <w:szCs w:val="32"/>
        </w:rPr>
        <w:t>1</w:t>
      </w:r>
      <w:r>
        <w:rPr>
          <w:rFonts w:hint="eastAsia" w:ascii="仿宋" w:hAnsi="仿宋" w:eastAsia="仿宋"/>
          <w:bCs/>
          <w:kern w:val="32"/>
          <w:sz w:val="32"/>
          <w:szCs w:val="32"/>
        </w:rPr>
        <w:t>日提交补正材料，本机关依法予以受理。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adjustRightInd w:val="0"/>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申请人请求：对太仓市住房和城乡建设局认定其在雅鹿</w:t>
      </w:r>
      <w:r>
        <w:rPr>
          <w:rFonts w:hint="eastAsia" w:ascii="仿宋" w:hAnsi="仿宋" w:eastAsia="仿宋"/>
          <w:bCs/>
          <w:kern w:val="32"/>
          <w:sz w:val="32"/>
          <w:szCs w:val="32"/>
          <w:lang w:eastAsia="zh-CN"/>
        </w:rPr>
        <w:t>XX幢XX室</w:t>
      </w:r>
      <w:r>
        <w:rPr>
          <w:rFonts w:hint="eastAsia" w:ascii="仿宋" w:hAnsi="仿宋" w:eastAsia="仿宋"/>
          <w:bCs/>
          <w:kern w:val="32"/>
          <w:sz w:val="32"/>
          <w:szCs w:val="32"/>
        </w:rPr>
        <w:t>拟搭建的建筑物属违法行为的认定书</w:t>
      </w:r>
      <w:r>
        <w:rPr>
          <w:rFonts w:hint="eastAsia" w:ascii="仿宋" w:hAnsi="仿宋" w:eastAsia="仿宋"/>
          <w:bCs/>
          <w:kern w:val="32"/>
          <w:sz w:val="32"/>
          <w:szCs w:val="32"/>
        </w:rPr>
        <w:t>（文书编号：1900087</w:t>
      </w:r>
      <w:r>
        <w:rPr>
          <w:rFonts w:hint="eastAsia" w:ascii="仿宋" w:hAnsi="仿宋" w:eastAsia="仿宋"/>
          <w:bCs/>
          <w:kern w:val="32"/>
          <w:sz w:val="32"/>
          <w:szCs w:val="32"/>
        </w:rPr>
        <w:t>）做撤销处理</w:t>
      </w:r>
      <w:r>
        <w:rPr>
          <w:rFonts w:hint="eastAsia" w:ascii="仿宋" w:hAnsi="仿宋" w:eastAsia="仿宋"/>
          <w:bCs/>
          <w:kern w:val="32"/>
          <w:sz w:val="32"/>
          <w:szCs w:val="32"/>
        </w:rPr>
        <w:t>。</w:t>
      </w:r>
    </w:p>
    <w:p>
      <w:pPr>
        <w:adjustRightInd w:val="0"/>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称：2018年5月份，雅鹿臻园联排的业主到太仓市信访局反映装修情况，当时城管局领导和住建局及开发商到场，一起探讨装修问题，得出的回复是不能现浇，可用铝合金做，现在我们部分业主在2018年12月前已用铝合金封好阳台，但在2019年1月24日收到城管局的通知，要求我们拆除已搭好的二楼三楼铝合金，说属于违建。该房屋存在质量问题该房屋存在结构问题，如不搭建阳光房容易渗水到墙体及室内，不宜居住。我们在购买该房产时，房产商大力宣传可以通过合理搭建，使房屋面积变大约 167平米。我们在2018年10月11日时已经被城市管理行政执法局强制拆除处理过了，当时我们的阳光房已经存在，城管并未告知我们的阳光房是违法建筑.我们一直保持被拆除部分的原样，时隔5个月后于2019年2月15日却告知我们阳光房是违法建筑。开房商的宣传广告涉嫌误导消费者，政府相关主管单位应该有监管责任。根据理性制度的要求和立法精神，中国行政处罚领域应该存在一事不再罚原则，太仓市城市管理行政执法局涉嫌不按流程执法，给我们造成重大损失。</w:t>
      </w:r>
    </w:p>
    <w:p>
      <w:pPr>
        <w:adjustRightInd w:val="0"/>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adjustRightInd w:val="0"/>
        <w:spacing w:line="580" w:lineRule="exact"/>
        <w:ind w:firstLine="640" w:firstLineChars="200"/>
        <w:rPr>
          <w:rFonts w:ascii="仿宋" w:hAnsi="仿宋" w:eastAsia="仿宋" w:cs="Arial"/>
          <w:kern w:val="32"/>
          <w:sz w:val="32"/>
          <w:szCs w:val="32"/>
        </w:rPr>
      </w:pPr>
      <w:r>
        <w:rPr>
          <w:rFonts w:ascii="仿宋" w:hAnsi="仿宋" w:eastAsia="仿宋" w:cs="Arial"/>
          <w:kern w:val="32"/>
          <w:sz w:val="32"/>
          <w:szCs w:val="32"/>
        </w:rPr>
        <w:t>1</w:t>
      </w:r>
      <w:r>
        <w:rPr>
          <w:rFonts w:hint="eastAsia" w:ascii="仿宋" w:hAnsi="仿宋" w:eastAsia="仿宋" w:cs="Arial"/>
          <w:kern w:val="32"/>
          <w:sz w:val="32"/>
          <w:szCs w:val="32"/>
        </w:rPr>
        <w:t>、在建建设规划认定书；</w:t>
      </w:r>
    </w:p>
    <w:p>
      <w:pPr>
        <w:adjustRightInd w:val="0"/>
        <w:spacing w:line="580" w:lineRule="exact"/>
        <w:ind w:firstLine="640" w:firstLineChars="200"/>
        <w:rPr>
          <w:rFonts w:ascii="仿宋" w:hAnsi="仿宋" w:eastAsia="仿宋" w:cs="仿宋"/>
          <w:kern w:val="32"/>
          <w:sz w:val="32"/>
          <w:szCs w:val="32"/>
        </w:rPr>
      </w:pPr>
      <w:r>
        <w:rPr>
          <w:rFonts w:ascii="仿宋" w:hAnsi="仿宋" w:eastAsia="仿宋" w:cs="仿宋"/>
          <w:kern w:val="32"/>
          <w:sz w:val="32"/>
          <w:szCs w:val="32"/>
        </w:rPr>
        <w:t>2</w:t>
      </w:r>
      <w:r>
        <w:rPr>
          <w:rFonts w:hint="eastAsia" w:ascii="仿宋" w:hAnsi="仿宋" w:eastAsia="仿宋" w:cs="仿宋"/>
          <w:kern w:val="32"/>
          <w:sz w:val="32"/>
          <w:szCs w:val="32"/>
        </w:rPr>
        <w:t>、责令改正通知书。</w:t>
      </w:r>
    </w:p>
    <w:p>
      <w:pPr>
        <w:pStyle w:val="10"/>
        <w:autoSpaceDE/>
        <w:autoSpaceDN/>
        <w:spacing w:line="580" w:lineRule="exact"/>
        <w:ind w:firstLine="656" w:firstLineChars="205"/>
        <w:jc w:val="both"/>
        <w:rPr>
          <w:rFonts w:ascii="仿宋" w:hAnsi="仿宋_GB2312" w:eastAsia="仿宋" w:cs="仿宋_GB2312"/>
          <w:kern w:val="32"/>
          <w:sz w:val="32"/>
          <w:szCs w:val="32"/>
        </w:rPr>
      </w:pPr>
      <w:r>
        <w:rPr>
          <w:rFonts w:hint="eastAsia" w:ascii="仿宋" w:hAnsi="仿宋" w:eastAsia="仿宋"/>
          <w:bCs/>
          <w:kern w:val="32"/>
          <w:sz w:val="32"/>
          <w:szCs w:val="32"/>
        </w:rPr>
        <w:t>被申请人答复称：一、被申请人作出的认定书是合理合法的，不存在应予撤销的情形。</w:t>
      </w:r>
      <w:r>
        <w:rPr>
          <w:rFonts w:hint="eastAsia" w:ascii="仿宋" w:hAnsi="仿宋" w:eastAsia="仿宋" w:cs="Arial"/>
          <w:kern w:val="32"/>
          <w:sz w:val="32"/>
          <w:szCs w:val="32"/>
        </w:rPr>
        <w:t>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二、案涉认定书不具有强制执行力，对申请人的权利义务不产生实际影响。据申请人在申请书中的复议请求可知，对申请人的权利义务产生实际影响的并非案涉认定书，案涉《认定书》仅是对申请人搭建建筑物是否至被申请人处办理规划手续的说明，不具有强制执行力，对申请人的权利义务并不产生实际影响。申请人的行政复议申请于法无据，请求复议机关依法驳回申请人的行政复议申请。</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被申请人提供的证据有：</w:t>
      </w:r>
    </w:p>
    <w:p>
      <w:pPr>
        <w:pStyle w:val="10"/>
        <w:autoSpaceDE/>
        <w:autoSpaceDN/>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1</w:t>
      </w:r>
      <w:r>
        <w:rPr>
          <w:rFonts w:hint="eastAsia" w:ascii="仿宋" w:hAnsi="仿宋" w:eastAsia="仿宋" w:cs="Arial"/>
          <w:kern w:val="32"/>
          <w:sz w:val="32"/>
          <w:szCs w:val="32"/>
        </w:rPr>
        <w:t>、现场检查笔录及照片；</w:t>
      </w:r>
    </w:p>
    <w:p>
      <w:pPr>
        <w:pStyle w:val="10"/>
        <w:autoSpaceDE/>
        <w:autoSpaceDN/>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2</w:t>
      </w:r>
      <w:r>
        <w:rPr>
          <w:rFonts w:hint="eastAsia" w:ascii="仿宋" w:hAnsi="仿宋" w:eastAsia="仿宋" w:cs="Arial"/>
          <w:kern w:val="32"/>
          <w:sz w:val="32"/>
          <w:szCs w:val="32"/>
        </w:rPr>
        <w:t>、停工</w:t>
      </w:r>
      <w:r>
        <w:rPr>
          <w:rFonts w:ascii="仿宋" w:hAnsi="仿宋" w:eastAsia="仿宋" w:cs="Arial"/>
          <w:kern w:val="32"/>
          <w:sz w:val="32"/>
          <w:szCs w:val="32"/>
        </w:rPr>
        <w:t>(</w:t>
      </w:r>
      <w:r>
        <w:rPr>
          <w:rFonts w:hint="eastAsia" w:ascii="仿宋" w:hAnsi="仿宋" w:eastAsia="仿宋" w:cs="Arial"/>
          <w:kern w:val="32"/>
          <w:sz w:val="32"/>
          <w:szCs w:val="32"/>
        </w:rPr>
        <w:t>核查</w:t>
      </w:r>
      <w:r>
        <w:rPr>
          <w:rFonts w:ascii="仿宋" w:hAnsi="仿宋" w:eastAsia="仿宋" w:cs="Arial"/>
          <w:kern w:val="32"/>
          <w:sz w:val="32"/>
          <w:szCs w:val="32"/>
        </w:rPr>
        <w:t>)</w:t>
      </w:r>
      <w:r>
        <w:rPr>
          <w:rFonts w:hint="eastAsia" w:ascii="仿宋" w:hAnsi="仿宋" w:eastAsia="仿宋" w:cs="Arial"/>
          <w:kern w:val="32"/>
          <w:sz w:val="32"/>
          <w:szCs w:val="32"/>
        </w:rPr>
        <w:t>通知书及送达回证；</w:t>
      </w:r>
    </w:p>
    <w:p>
      <w:pPr>
        <w:pStyle w:val="10"/>
        <w:autoSpaceDE/>
        <w:autoSpaceDN/>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3</w:t>
      </w:r>
      <w:r>
        <w:rPr>
          <w:rFonts w:hint="eastAsia" w:ascii="仿宋" w:hAnsi="仿宋" w:eastAsia="仿宋" w:cs="Arial"/>
          <w:kern w:val="32"/>
          <w:sz w:val="32"/>
          <w:szCs w:val="32"/>
        </w:rPr>
        <w:t>、房屋权属登记信息查询结果证明、房屋分户平面图；</w:t>
      </w:r>
    </w:p>
    <w:p>
      <w:pPr>
        <w:pStyle w:val="10"/>
        <w:autoSpaceDE/>
        <w:autoSpaceDN/>
        <w:spacing w:line="580" w:lineRule="exact"/>
        <w:ind w:firstLine="656" w:firstLineChars="205"/>
        <w:jc w:val="both"/>
        <w:rPr>
          <w:rFonts w:ascii="仿宋" w:hAnsi="仿宋" w:eastAsia="仿宋" w:cs="Arial"/>
          <w:kern w:val="32"/>
          <w:sz w:val="32"/>
          <w:szCs w:val="32"/>
        </w:rPr>
      </w:pPr>
      <w:r>
        <w:rPr>
          <w:rFonts w:ascii="仿宋" w:hAnsi="仿宋" w:eastAsia="仿宋" w:cs="Arial"/>
          <w:kern w:val="32"/>
          <w:sz w:val="32"/>
          <w:szCs w:val="32"/>
        </w:rPr>
        <w:t>4</w:t>
      </w:r>
      <w:r>
        <w:rPr>
          <w:rFonts w:hint="eastAsia" w:ascii="仿宋" w:hAnsi="仿宋" w:eastAsia="仿宋" w:cs="Arial"/>
          <w:kern w:val="32"/>
          <w:sz w:val="32"/>
          <w:szCs w:val="32"/>
        </w:rPr>
        <w:t>、在建建设规划认定书。</w:t>
      </w:r>
    </w:p>
    <w:p>
      <w:pPr>
        <w:adjustRightInd w:val="0"/>
        <w:spacing w:line="580" w:lineRule="exact"/>
        <w:ind w:firstLine="640" w:firstLineChars="200"/>
        <w:rPr>
          <w:rFonts w:ascii="仿宋" w:eastAsia="仿宋"/>
          <w:kern w:val="32"/>
          <w:sz w:val="32"/>
        </w:rPr>
      </w:pPr>
      <w:r>
        <w:rPr>
          <w:rFonts w:hint="eastAsia" w:ascii="仿宋" w:hAnsi="仿宋" w:eastAsia="仿宋"/>
          <w:bCs/>
          <w:kern w:val="32"/>
          <w:sz w:val="32"/>
          <w:szCs w:val="32"/>
        </w:rPr>
        <w:t>经审理查明：申请人为雅鹿臻园</w:t>
      </w:r>
      <w:r>
        <w:rPr>
          <w:rFonts w:hint="eastAsia" w:ascii="仿宋" w:hAnsi="仿宋" w:eastAsia="仿宋"/>
          <w:kern w:val="32"/>
          <w:sz w:val="32"/>
          <w:szCs w:val="32"/>
          <w:lang w:eastAsia="zh-CN"/>
        </w:rPr>
        <w:t>XX幢XX室</w:t>
      </w:r>
      <w:r>
        <w:rPr>
          <w:rFonts w:hint="eastAsia" w:ascii="仿宋" w:hAnsi="仿宋" w:eastAsia="仿宋"/>
          <w:bCs/>
          <w:kern w:val="32"/>
          <w:sz w:val="32"/>
          <w:szCs w:val="32"/>
        </w:rPr>
        <w:t>所有权人。</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24</w:t>
      </w:r>
      <w:r>
        <w:rPr>
          <w:rFonts w:hint="eastAsia" w:ascii="仿宋" w:hAnsi="仿宋" w:eastAsia="仿宋"/>
          <w:bCs/>
          <w:kern w:val="32"/>
          <w:sz w:val="32"/>
          <w:szCs w:val="32"/>
        </w:rPr>
        <w:t>日，太仓市城市管理行政执法局执法人员在检查中发现，太仓市雅鹿臻园</w:t>
      </w:r>
      <w:r>
        <w:rPr>
          <w:rFonts w:hint="eastAsia" w:ascii="仿宋" w:hAnsi="仿宋" w:eastAsia="仿宋"/>
          <w:kern w:val="32"/>
          <w:sz w:val="32"/>
          <w:szCs w:val="32"/>
          <w:lang w:eastAsia="zh-CN"/>
        </w:rPr>
        <w:t>XX幢XX室</w:t>
      </w:r>
      <w:r>
        <w:rPr>
          <w:rFonts w:hint="eastAsia" w:ascii="仿宋" w:hAnsi="仿宋" w:eastAsia="仿宋"/>
          <w:bCs/>
          <w:kern w:val="32"/>
          <w:sz w:val="32"/>
          <w:szCs w:val="32"/>
        </w:rPr>
        <w:t>二楼和三楼东南侧平台上，存在用铝合金、玻璃等材料进行搭建的情况，面积合计</w:t>
      </w:r>
      <w:r>
        <w:rPr>
          <w:rFonts w:ascii="仿宋" w:hAnsi="仿宋" w:eastAsia="仿宋"/>
          <w:bCs/>
          <w:kern w:val="32"/>
          <w:sz w:val="32"/>
          <w:szCs w:val="32"/>
        </w:rPr>
        <w:t>20.4</w:t>
      </w:r>
      <w:r>
        <w:rPr>
          <w:rFonts w:hint="eastAsia" w:ascii="仿宋" w:hAnsi="仿宋" w:eastAsia="仿宋"/>
          <w:bCs/>
          <w:kern w:val="32"/>
          <w:sz w:val="32"/>
          <w:szCs w:val="32"/>
        </w:rPr>
        <w:t>平方米。后太仓市城市管理行政执法局将相关情况通报太仓市住房和城乡建设局。</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31</w:t>
      </w:r>
      <w:r>
        <w:rPr>
          <w:rFonts w:hint="eastAsia" w:ascii="仿宋" w:hAnsi="仿宋" w:eastAsia="仿宋"/>
          <w:bCs/>
          <w:kern w:val="32"/>
          <w:sz w:val="32"/>
          <w:szCs w:val="32"/>
        </w:rPr>
        <w:t>日，太仓市住房和城乡建设局作出《在建建设规划认定书》（文书编号：</w:t>
      </w:r>
      <w:r>
        <w:rPr>
          <w:rFonts w:ascii="仿宋" w:hAnsi="仿宋" w:eastAsia="仿宋"/>
          <w:bCs/>
          <w:kern w:val="32"/>
          <w:sz w:val="32"/>
          <w:szCs w:val="32"/>
        </w:rPr>
        <w:t>1900087</w:t>
      </w:r>
      <w:r>
        <w:rPr>
          <w:rFonts w:hint="eastAsia" w:ascii="仿宋" w:hAnsi="仿宋" w:eastAsia="仿宋"/>
          <w:bCs/>
          <w:kern w:val="32"/>
          <w:sz w:val="32"/>
          <w:szCs w:val="32"/>
        </w:rPr>
        <w:t>），认定：“雅鹿臻园</w:t>
      </w:r>
      <w:r>
        <w:rPr>
          <w:rFonts w:hint="eastAsia" w:ascii="仿宋" w:hAnsi="仿宋" w:eastAsia="仿宋"/>
          <w:kern w:val="32"/>
          <w:sz w:val="32"/>
          <w:szCs w:val="32"/>
          <w:lang w:eastAsia="zh-CN"/>
        </w:rPr>
        <w:t>XX幢XX室</w:t>
      </w:r>
      <w:r>
        <w:rPr>
          <w:rFonts w:hint="eastAsia" w:ascii="仿宋" w:hAnsi="仿宋" w:eastAsia="仿宋"/>
          <w:bCs/>
          <w:kern w:val="32"/>
          <w:sz w:val="32"/>
          <w:szCs w:val="32"/>
        </w:rPr>
        <w:t>拟搭建的建筑物未办理建设工程规划许可证，属违法建设”。</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上述事实有下列证据证实：</w:t>
      </w:r>
    </w:p>
    <w:p>
      <w:pPr>
        <w:adjustRightInd w:val="0"/>
        <w:spacing w:line="580" w:lineRule="exact"/>
        <w:ind w:firstLine="640" w:firstLineChars="200"/>
        <w:rPr>
          <w:rFonts w:ascii="仿宋" w:hAnsi="仿宋" w:eastAsia="仿宋"/>
          <w:bCs/>
          <w:kern w:val="32"/>
          <w:sz w:val="32"/>
          <w:szCs w:val="32"/>
        </w:rPr>
      </w:pPr>
      <w:r>
        <w:rPr>
          <w:rFonts w:ascii="仿宋" w:hAnsi="仿宋" w:eastAsia="仿宋"/>
          <w:bCs/>
          <w:kern w:val="32"/>
          <w:sz w:val="32"/>
          <w:szCs w:val="32"/>
        </w:rPr>
        <w:t>1</w:t>
      </w:r>
      <w:r>
        <w:rPr>
          <w:rFonts w:hint="eastAsia" w:ascii="仿宋" w:hAnsi="仿宋" w:eastAsia="仿宋"/>
          <w:bCs/>
          <w:kern w:val="32"/>
          <w:sz w:val="32"/>
          <w:szCs w:val="32"/>
        </w:rPr>
        <w:t>、房屋权属登记信息查询结果证明。证明申请人为涉案房屋产权人。</w:t>
      </w:r>
    </w:p>
    <w:p>
      <w:pPr>
        <w:pStyle w:val="10"/>
        <w:autoSpaceDE/>
        <w:autoSpaceDN/>
        <w:spacing w:line="580" w:lineRule="exact"/>
        <w:ind w:firstLine="640" w:firstLineChars="200"/>
        <w:jc w:val="both"/>
        <w:rPr>
          <w:rFonts w:ascii="仿宋" w:hAnsi="仿宋_GB2312" w:eastAsia="仿宋" w:cs="仿宋_GB2312"/>
          <w:kern w:val="32"/>
          <w:sz w:val="32"/>
        </w:rPr>
      </w:pPr>
      <w:r>
        <w:rPr>
          <w:rFonts w:ascii="仿宋" w:hAnsi="仿宋" w:eastAsia="仿宋" w:cs="Times New Roman"/>
          <w:bCs/>
          <w:kern w:val="32"/>
          <w:sz w:val="32"/>
          <w:szCs w:val="32"/>
        </w:rPr>
        <w:t>2</w:t>
      </w:r>
      <w:r>
        <w:rPr>
          <w:rFonts w:hint="eastAsia" w:ascii="仿宋" w:hAnsi="仿宋" w:eastAsia="仿宋" w:cs="Times New Roman"/>
          <w:bCs/>
          <w:kern w:val="32"/>
          <w:sz w:val="32"/>
          <w:szCs w:val="32"/>
        </w:rPr>
        <w:t>、房屋分户平面图、现场检查笔录及照片。</w:t>
      </w:r>
      <w:r>
        <w:rPr>
          <w:rFonts w:hint="eastAsia" w:ascii="仿宋" w:hAnsi="仿宋_GB2312" w:eastAsia="仿宋" w:cs="仿宋_GB2312"/>
          <w:kern w:val="32"/>
          <w:sz w:val="32"/>
        </w:rPr>
        <w:t>证明申请人未向</w:t>
      </w:r>
      <w:r>
        <w:rPr>
          <w:rFonts w:hint="eastAsia" w:ascii="仿宋" w:hAnsi="仿宋" w:eastAsia="仿宋"/>
          <w:bCs/>
          <w:kern w:val="32"/>
          <w:sz w:val="32"/>
          <w:szCs w:val="32"/>
        </w:rPr>
        <w:t>太仓市住房和城乡建设局</w:t>
      </w:r>
      <w:r>
        <w:rPr>
          <w:rFonts w:hint="eastAsia" w:ascii="仿宋" w:hAnsi="仿宋_GB2312" w:eastAsia="仿宋" w:cs="仿宋_GB2312"/>
          <w:kern w:val="32"/>
          <w:sz w:val="32"/>
        </w:rPr>
        <w:t>申请规划许可即进行搭建的</w:t>
      </w:r>
      <w:r>
        <w:rPr>
          <w:rFonts w:hint="eastAsia" w:ascii="仿宋" w:eastAsia="仿宋"/>
          <w:kern w:val="32"/>
          <w:sz w:val="32"/>
          <w:szCs w:val="29"/>
        </w:rPr>
        <w:t>事实。</w:t>
      </w:r>
    </w:p>
    <w:p>
      <w:pPr>
        <w:pStyle w:val="10"/>
        <w:autoSpaceDE/>
        <w:autoSpaceDN/>
        <w:spacing w:line="580" w:lineRule="exact"/>
        <w:ind w:firstLine="640" w:firstLineChars="200"/>
        <w:jc w:val="both"/>
        <w:rPr>
          <w:rFonts w:ascii="仿宋" w:hAnsi="仿宋" w:eastAsia="仿宋" w:cs="Times New Roman"/>
          <w:bCs/>
          <w:kern w:val="32"/>
          <w:sz w:val="32"/>
          <w:szCs w:val="32"/>
        </w:rPr>
      </w:pPr>
      <w:r>
        <w:rPr>
          <w:rFonts w:ascii="仿宋" w:hAnsi="仿宋" w:eastAsia="仿宋" w:cs="Times New Roman"/>
          <w:bCs/>
          <w:kern w:val="32"/>
          <w:sz w:val="32"/>
          <w:szCs w:val="32"/>
        </w:rPr>
        <w:t>3</w:t>
      </w:r>
      <w:r>
        <w:rPr>
          <w:rFonts w:hint="eastAsia" w:ascii="仿宋" w:hAnsi="仿宋" w:eastAsia="仿宋" w:cs="Times New Roman"/>
          <w:bCs/>
          <w:kern w:val="32"/>
          <w:sz w:val="32"/>
          <w:szCs w:val="32"/>
        </w:rPr>
        <w:t>、</w:t>
      </w:r>
      <w:r>
        <w:rPr>
          <w:rFonts w:hint="eastAsia" w:ascii="仿宋" w:hAnsi="仿宋" w:eastAsia="仿宋"/>
          <w:bCs/>
          <w:kern w:val="32"/>
          <w:sz w:val="32"/>
          <w:szCs w:val="32"/>
        </w:rPr>
        <w:t>《在建建设规划认定书》（文书编号：</w:t>
      </w:r>
      <w:r>
        <w:rPr>
          <w:rFonts w:ascii="仿宋" w:hAnsi="仿宋" w:eastAsia="仿宋"/>
          <w:bCs/>
          <w:kern w:val="32"/>
          <w:sz w:val="32"/>
          <w:szCs w:val="32"/>
        </w:rPr>
        <w:t>1900087</w:t>
      </w:r>
      <w:r>
        <w:rPr>
          <w:rFonts w:hint="eastAsia" w:ascii="仿宋" w:hAnsi="仿宋" w:eastAsia="仿宋"/>
          <w:bCs/>
          <w:kern w:val="32"/>
          <w:sz w:val="32"/>
          <w:szCs w:val="32"/>
        </w:rPr>
        <w:t>）</w:t>
      </w:r>
      <w:r>
        <w:rPr>
          <w:rFonts w:hint="eastAsia" w:ascii="仿宋" w:hAnsi="仿宋" w:eastAsia="仿宋" w:cs="Times New Roman"/>
          <w:bCs/>
          <w:kern w:val="32"/>
          <w:sz w:val="32"/>
          <w:szCs w:val="32"/>
        </w:rPr>
        <w:t>。证明</w:t>
      </w:r>
      <w:r>
        <w:rPr>
          <w:rFonts w:hint="eastAsia" w:ascii="仿宋" w:hAnsi="仿宋" w:eastAsia="仿宋"/>
          <w:bCs/>
          <w:kern w:val="32"/>
          <w:sz w:val="32"/>
          <w:szCs w:val="32"/>
        </w:rPr>
        <w:t>太仓市住房和城乡建设局</w:t>
      </w:r>
      <w:r>
        <w:rPr>
          <w:rFonts w:hint="eastAsia" w:ascii="仿宋" w:hAnsi="仿宋" w:eastAsia="仿宋" w:cs="Times New Roman"/>
          <w:bCs/>
          <w:kern w:val="32"/>
          <w:sz w:val="32"/>
          <w:szCs w:val="32"/>
        </w:rPr>
        <w:t>认定申请人进行的搭建属违法建设的内容和时间。</w:t>
      </w:r>
      <w:r>
        <w:rPr>
          <w:rFonts w:ascii="仿宋" w:hAnsi="仿宋" w:eastAsia="仿宋" w:cs="Times New Roman"/>
          <w:bCs/>
          <w:kern w:val="32"/>
          <w:sz w:val="32"/>
          <w:szCs w:val="32"/>
        </w:rPr>
        <w:t xml:space="preserve"> </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本机关认为：县级以上地方人民政府城乡规划主管部门负责本行政区域内的城乡规划管理工作，太仓市住房和城乡建设局是进行违法建设认定的有权部门。在行政复议过程中，因机构改革，太仓市住房和城乡建设局的城乡规划管理职能转入太仓市自然资源和规划局，因此，本机关在案件审理过程中将本案被申请人调整为太仓市自然资源和规划局。</w:t>
      </w:r>
      <w:r>
        <w:rPr>
          <w:rFonts w:hint="eastAsia" w:ascii="仿宋" w:eastAsia="仿宋"/>
          <w:kern w:val="32"/>
          <w:sz w:val="32"/>
          <w:szCs w:val="28"/>
        </w:rPr>
        <w:t>《中华人民共和国城乡规划法》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本案中，雅鹿臻园位于城乡规划区内，申请人未取得建设工程规划许可证即进行建设，违反了上述规定。</w:t>
      </w:r>
      <w:r>
        <w:rPr>
          <w:rFonts w:hint="eastAsia" w:ascii="仿宋" w:hAnsi="仿宋" w:eastAsia="仿宋"/>
          <w:bCs/>
          <w:kern w:val="32"/>
          <w:sz w:val="32"/>
          <w:szCs w:val="32"/>
        </w:rPr>
        <w:t>被申请人</w:t>
      </w:r>
      <w:r>
        <w:rPr>
          <w:rFonts w:hint="eastAsia" w:ascii="仿宋" w:eastAsia="仿宋"/>
          <w:kern w:val="32"/>
          <w:sz w:val="32"/>
          <w:szCs w:val="28"/>
        </w:rPr>
        <w:t>作出违法建设的认定，</w:t>
      </w:r>
      <w:r>
        <w:rPr>
          <w:rFonts w:hint="eastAsia" w:ascii="仿宋" w:eastAsia="仿宋"/>
          <w:kern w:val="32"/>
          <w:sz w:val="32"/>
          <w:szCs w:val="29"/>
        </w:rPr>
        <w:t>事实清楚、依据充分。</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根据《中华人民共和国行政复议法》第二十八条第一款第一项之规定，本机关决定如下：</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维持被申请人作出的《在建建设规划认定书》（文书编号：</w:t>
      </w:r>
      <w:r>
        <w:rPr>
          <w:rFonts w:ascii="仿宋" w:hAnsi="仿宋" w:eastAsia="仿宋"/>
          <w:bCs/>
          <w:kern w:val="32"/>
          <w:sz w:val="32"/>
          <w:szCs w:val="32"/>
        </w:rPr>
        <w:t>1900087</w:t>
      </w:r>
      <w:r>
        <w:rPr>
          <w:rFonts w:hint="eastAsia" w:ascii="仿宋" w:hAnsi="仿宋" w:eastAsia="仿宋"/>
          <w:bCs/>
          <w:kern w:val="32"/>
          <w:sz w:val="32"/>
          <w:szCs w:val="32"/>
        </w:rPr>
        <w:t>）。</w:t>
      </w:r>
    </w:p>
    <w:p>
      <w:pPr>
        <w:adjustRightInd w:val="0"/>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如对本决定不服，可以自接到本决定书之日起</w:t>
      </w:r>
      <w:r>
        <w:rPr>
          <w:rFonts w:ascii="仿宋" w:hAnsi="仿宋" w:eastAsia="仿宋"/>
          <w:bCs/>
          <w:kern w:val="32"/>
          <w:sz w:val="32"/>
          <w:szCs w:val="32"/>
        </w:rPr>
        <w:t>15</w:t>
      </w:r>
      <w:r>
        <w:rPr>
          <w:rFonts w:hint="eastAsia" w:ascii="仿宋" w:hAnsi="仿宋" w:eastAsia="仿宋"/>
          <w:bCs/>
          <w:kern w:val="32"/>
          <w:sz w:val="32"/>
          <w:szCs w:val="32"/>
        </w:rPr>
        <w:t>日内，向太仓市人民法院提起行政诉讼。</w:t>
      </w:r>
    </w:p>
    <w:p>
      <w:pPr>
        <w:adjustRightInd w:val="0"/>
        <w:spacing w:line="580" w:lineRule="exact"/>
        <w:ind w:firstLine="640" w:firstLineChars="200"/>
        <w:rPr>
          <w:rFonts w:ascii="仿宋" w:hAnsi="仿宋" w:eastAsia="仿宋"/>
          <w:bCs/>
          <w:kern w:val="32"/>
          <w:sz w:val="32"/>
          <w:szCs w:val="32"/>
        </w:rPr>
      </w:pPr>
    </w:p>
    <w:p>
      <w:pPr>
        <w:adjustRightInd w:val="0"/>
        <w:spacing w:line="580" w:lineRule="exact"/>
        <w:ind w:firstLine="640" w:firstLineChars="200"/>
        <w:rPr>
          <w:kern w:val="0"/>
        </w:rPr>
      </w:pPr>
      <w:r>
        <w:rPr>
          <w:rFonts w:ascii="仿宋" w:hAnsi="仿宋" w:eastAsia="仿宋"/>
          <w:bCs/>
          <w:kern w:val="32"/>
          <w:sz w:val="32"/>
          <w:szCs w:val="32"/>
        </w:rPr>
        <w:t xml:space="preserve">                         </w:t>
      </w:r>
      <w:r>
        <w:rPr>
          <w:rFonts w:hint="eastAsia" w:ascii="仿宋" w:hAnsi="仿宋" w:eastAsia="仿宋"/>
          <w:bCs/>
          <w:kern w:val="32"/>
          <w:sz w:val="32"/>
          <w:szCs w:val="32"/>
        </w:rPr>
        <w:t>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年五月二十三日</w:t>
      </w:r>
      <w:bookmarkStart w:id="0" w:name="_GoBack"/>
      <w:bookmarkEnd w:id="0"/>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- 5 -</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3A4657"/>
    <w:rsid w:val="00035F4A"/>
    <w:rsid w:val="00080ADF"/>
    <w:rsid w:val="000B64D6"/>
    <w:rsid w:val="000D2E54"/>
    <w:rsid w:val="001326C6"/>
    <w:rsid w:val="00132BBC"/>
    <w:rsid w:val="001464EE"/>
    <w:rsid w:val="001674C1"/>
    <w:rsid w:val="001D2E02"/>
    <w:rsid w:val="001E66F2"/>
    <w:rsid w:val="00200BEA"/>
    <w:rsid w:val="00213025"/>
    <w:rsid w:val="002526FA"/>
    <w:rsid w:val="002D7778"/>
    <w:rsid w:val="002E2D03"/>
    <w:rsid w:val="003A5A14"/>
    <w:rsid w:val="003E3CAC"/>
    <w:rsid w:val="00403D7E"/>
    <w:rsid w:val="00446786"/>
    <w:rsid w:val="00450795"/>
    <w:rsid w:val="00476AB0"/>
    <w:rsid w:val="004952B1"/>
    <w:rsid w:val="00500304"/>
    <w:rsid w:val="00504A8C"/>
    <w:rsid w:val="00535BEA"/>
    <w:rsid w:val="00587139"/>
    <w:rsid w:val="005C2462"/>
    <w:rsid w:val="005E2C60"/>
    <w:rsid w:val="005E4B99"/>
    <w:rsid w:val="00607D60"/>
    <w:rsid w:val="006364FD"/>
    <w:rsid w:val="006904A4"/>
    <w:rsid w:val="006D1C25"/>
    <w:rsid w:val="006F2DDB"/>
    <w:rsid w:val="00724797"/>
    <w:rsid w:val="00745BFD"/>
    <w:rsid w:val="007633F2"/>
    <w:rsid w:val="00773DDC"/>
    <w:rsid w:val="0077753C"/>
    <w:rsid w:val="00790AA9"/>
    <w:rsid w:val="007C054B"/>
    <w:rsid w:val="007D509A"/>
    <w:rsid w:val="00857B46"/>
    <w:rsid w:val="00885EDC"/>
    <w:rsid w:val="009260A5"/>
    <w:rsid w:val="0093141C"/>
    <w:rsid w:val="0093245B"/>
    <w:rsid w:val="00932DC6"/>
    <w:rsid w:val="00960D5F"/>
    <w:rsid w:val="009779BA"/>
    <w:rsid w:val="0099728C"/>
    <w:rsid w:val="009A5988"/>
    <w:rsid w:val="009A7608"/>
    <w:rsid w:val="009F46BF"/>
    <w:rsid w:val="00A22ADD"/>
    <w:rsid w:val="00AD6664"/>
    <w:rsid w:val="00AF69D9"/>
    <w:rsid w:val="00B32A9B"/>
    <w:rsid w:val="00B83F9E"/>
    <w:rsid w:val="00B91261"/>
    <w:rsid w:val="00BA7192"/>
    <w:rsid w:val="00BA72E1"/>
    <w:rsid w:val="00BC402A"/>
    <w:rsid w:val="00BE34B2"/>
    <w:rsid w:val="00C048D3"/>
    <w:rsid w:val="00C10A80"/>
    <w:rsid w:val="00C5342B"/>
    <w:rsid w:val="00C87CA7"/>
    <w:rsid w:val="00CF490E"/>
    <w:rsid w:val="00D26D5B"/>
    <w:rsid w:val="00E016E1"/>
    <w:rsid w:val="00E15C7D"/>
    <w:rsid w:val="00E240FA"/>
    <w:rsid w:val="00E368E6"/>
    <w:rsid w:val="00EB65C6"/>
    <w:rsid w:val="00EE211A"/>
    <w:rsid w:val="00EF1677"/>
    <w:rsid w:val="00FA67E4"/>
    <w:rsid w:val="00FB040C"/>
    <w:rsid w:val="180779C1"/>
    <w:rsid w:val="323A4657"/>
    <w:rsid w:val="324E2389"/>
    <w:rsid w:val="6A1C58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uiPriority w:val="99"/>
    <w:pPr>
      <w:jc w:val="left"/>
    </w:pPr>
  </w:style>
  <w:style w:type="paragraph" w:styleId="3">
    <w:name w:val="footer"/>
    <w:basedOn w:val="1"/>
    <w:link w:val="9"/>
    <w:qFormat/>
    <w:uiPriority w:val="99"/>
    <w:pPr>
      <w:tabs>
        <w:tab w:val="center" w:pos="4153"/>
        <w:tab w:val="right" w:pos="8306"/>
      </w:tabs>
      <w:snapToGrid w:val="0"/>
      <w:jc w:val="left"/>
    </w:pPr>
    <w:rPr>
      <w:sz w:val="18"/>
      <w:szCs w:val="18"/>
    </w:rPr>
  </w:style>
  <w:style w:type="character" w:styleId="6">
    <w:name w:val="Strong"/>
    <w:basedOn w:val="5"/>
    <w:qFormat/>
    <w:uiPriority w:val="99"/>
    <w:rPr>
      <w:rFonts w:cs="Times New Roman"/>
      <w:b/>
      <w:bCs/>
    </w:rPr>
  </w:style>
  <w:style w:type="character" w:styleId="7">
    <w:name w:val="page number"/>
    <w:basedOn w:val="5"/>
    <w:uiPriority w:val="99"/>
    <w:rPr>
      <w:rFonts w:cs="Times New Roman"/>
    </w:rPr>
  </w:style>
  <w:style w:type="character" w:customStyle="1" w:styleId="8">
    <w:name w:val="Comment Text Char"/>
    <w:basedOn w:val="5"/>
    <w:link w:val="2"/>
    <w:semiHidden/>
    <w:locked/>
    <w:uiPriority w:val="99"/>
    <w:rPr>
      <w:rFonts w:cs="Times New Roman"/>
      <w:sz w:val="24"/>
      <w:szCs w:val="24"/>
    </w:rPr>
  </w:style>
  <w:style w:type="character" w:customStyle="1" w:styleId="9">
    <w:name w:val="Footer Char"/>
    <w:basedOn w:val="5"/>
    <w:link w:val="3"/>
    <w:semiHidden/>
    <w:qFormat/>
    <w:locked/>
    <w:uiPriority w:val="99"/>
    <w:rPr>
      <w:rFonts w:cs="Times New Roman"/>
      <w:sz w:val="18"/>
      <w:szCs w:val="18"/>
    </w:rPr>
  </w:style>
  <w:style w:type="paragraph" w:customStyle="1" w:styleId="10">
    <w:name w:val="样式"/>
    <w:uiPriority w:val="99"/>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328</Words>
  <Characters>1871</Characters>
  <Lines>0</Lines>
  <Paragraphs>0</Paragraphs>
  <TotalTime>159</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cp:lastPrinted>2019-05-20T08:29:00Z</cp:lastPrinted>
  <dcterms:modified xsi:type="dcterms:W3CDTF">2019-09-27T08:06:46Z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