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hint="eastAsia"/>
          <w:b/>
          <w:sz w:val="44"/>
          <w:szCs w:val="44"/>
        </w:rPr>
        <w:t>太仓市人民政府</w:t>
      </w:r>
    </w:p>
    <w:p>
      <w:pPr>
        <w:spacing w:line="560" w:lineRule="exact"/>
        <w:rPr>
          <w:rFonts w:hint="eastAsia" w:eastAsia="黑体"/>
          <w:sz w:val="44"/>
          <w:u w:val="thick"/>
        </w:rPr>
      </w:pPr>
      <w:r>
        <w:rPr>
          <w:rFonts w:hint="eastAsia" w:eastAsia="黑体"/>
          <w:sz w:val="44"/>
          <w:u w:val="thick"/>
        </w:rPr>
        <w:t xml:space="preserve">                                      </w:t>
      </w:r>
    </w:p>
    <w:p>
      <w:pPr>
        <w:spacing w:line="560" w:lineRule="exact"/>
        <w:jc w:val="center"/>
        <w:rPr>
          <w:rFonts w:hint="eastAsia" w:ascii="宋体" w:hAnsi="宋体"/>
          <w:b/>
          <w:bCs/>
          <w:sz w:val="36"/>
          <w:szCs w:val="36"/>
        </w:rPr>
      </w:pPr>
    </w:p>
    <w:p>
      <w:pPr>
        <w:spacing w:line="560" w:lineRule="exact"/>
        <w:jc w:val="center"/>
        <w:rPr>
          <w:rFonts w:hint="eastAsia" w:ascii="宋体" w:hAnsi="宋体"/>
          <w:b/>
          <w:bCs/>
          <w:sz w:val="52"/>
          <w:szCs w:val="52"/>
        </w:rPr>
      </w:pPr>
      <w:r>
        <w:rPr>
          <w:rFonts w:hint="eastAsia" w:ascii="宋体" w:hAnsi="宋体"/>
          <w:b/>
          <w:bCs/>
          <w:sz w:val="52"/>
          <w:szCs w:val="52"/>
        </w:rPr>
        <w:t>行政复议决定书</w:t>
      </w:r>
    </w:p>
    <w:p>
      <w:pPr>
        <w:spacing w:line="560" w:lineRule="exact"/>
        <w:jc w:val="right"/>
        <w:rPr>
          <w:rFonts w:hint="eastAsia" w:ascii="仿宋_GB2312" w:hAnsi="宋体" w:eastAsia="仿宋_GB2312"/>
          <w:bCs/>
          <w:sz w:val="32"/>
          <w:szCs w:val="32"/>
        </w:rPr>
      </w:pPr>
    </w:p>
    <w:p>
      <w:pPr>
        <w:topLinePunct/>
        <w:spacing w:line="580" w:lineRule="exact"/>
        <w:ind w:firstLine="4800" w:firstLineChars="1500"/>
        <w:rPr>
          <w:rFonts w:hint="eastAsia" w:ascii="仿宋" w:hAnsi="仿宋" w:eastAsia="仿宋"/>
          <w:bCs/>
          <w:kern w:val="32"/>
          <w:sz w:val="32"/>
          <w:szCs w:val="32"/>
        </w:rPr>
      </w:pPr>
      <w:r>
        <w:rPr>
          <w:rFonts w:hint="eastAsia" w:ascii="仿宋" w:hAnsi="仿宋" w:eastAsia="仿宋"/>
          <w:bCs/>
          <w:kern w:val="32"/>
          <w:sz w:val="32"/>
          <w:szCs w:val="32"/>
        </w:rPr>
        <w:t>〔2019〕太府行复第10号</w:t>
      </w:r>
    </w:p>
    <w:p>
      <w:pPr>
        <w:topLinePunct/>
        <w:spacing w:line="580" w:lineRule="exact"/>
        <w:ind w:firstLine="4800" w:firstLineChars="1500"/>
        <w:rPr>
          <w:rFonts w:hint="eastAsia" w:ascii="仿宋" w:hAnsi="仿宋" w:eastAsia="仿宋"/>
          <w:bCs/>
          <w:kern w:val="32"/>
          <w:sz w:val="32"/>
          <w:szCs w:val="32"/>
        </w:rPr>
      </w:pP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申请人：黄</w:t>
      </w:r>
      <w:r>
        <w:rPr>
          <w:rFonts w:hint="eastAsia" w:ascii="仿宋" w:hAnsi="仿宋" w:eastAsia="仿宋"/>
          <w:bCs/>
          <w:kern w:val="32"/>
          <w:sz w:val="32"/>
          <w:szCs w:val="32"/>
          <w:lang w:eastAsia="zh-CN"/>
        </w:rPr>
        <w:t>某某</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申请人对被申请人太仓市住房和城乡建设局的城乡规划管理不服，于2019年2月18日向本机关申请行政复议，2月27日提交补正材料，本机关依法予以受理。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申请人请求：确认在建建设规划认定书上认定的建筑物不属于违建。</w:t>
      </w:r>
    </w:p>
    <w:p>
      <w:pPr>
        <w:pStyle w:val="8"/>
        <w:topLinePunct/>
        <w:autoSpaceDE/>
        <w:autoSpaceDN/>
        <w:adjustRightInd/>
        <w:spacing w:line="580" w:lineRule="exact"/>
        <w:ind w:firstLine="640" w:firstLineChars="200"/>
        <w:jc w:val="both"/>
        <w:rPr>
          <w:rFonts w:hint="eastAsia" w:ascii="仿宋" w:eastAsia="仿宋" w:cs="Times New Roman"/>
          <w:kern w:val="32"/>
          <w:sz w:val="32"/>
          <w:szCs w:val="14"/>
        </w:rPr>
      </w:pPr>
      <w:r>
        <w:rPr>
          <w:rFonts w:hint="eastAsia" w:ascii="仿宋" w:hAnsi="仿宋" w:eastAsia="仿宋"/>
          <w:bCs/>
          <w:kern w:val="32"/>
          <w:sz w:val="32"/>
          <w:szCs w:val="32"/>
        </w:rPr>
        <w:t>申请人称：</w:t>
      </w:r>
      <w:r>
        <w:rPr>
          <w:rFonts w:hint="eastAsia" w:ascii="仿宋" w:eastAsia="仿宋"/>
          <w:kern w:val="32"/>
          <w:sz w:val="32"/>
        </w:rPr>
        <w:t>2018年5月，雅鹿臻园联排业主到太仓市信访局反映装修情况，当时的城管局领导和住建局及开发商到场，一起探讨装修的问题，得出的结论是阳台现浇不允许，用铝合金做可以。现在我们部分业主在2018年12月前已经用铝合金封好了阳台，但在2019年1月24日收到城管局通知，要求我们拆除已搭好的二楼、三楼的铝合金。说属于违建。我们搭建的铝合金在房产证红线范围内，没有超出范围。</w:t>
      </w:r>
      <w:r>
        <w:rPr>
          <w:rFonts w:hint="eastAsia" w:ascii="仿宋" w:eastAsia="仿宋" w:cs="Times New Roman"/>
          <w:kern w:val="32"/>
          <w:sz w:val="32"/>
          <w:szCs w:val="14"/>
        </w:rPr>
        <w:t xml:space="preserve"> </w:t>
      </w:r>
    </w:p>
    <w:p>
      <w:pPr>
        <w:topLinePunct/>
        <w:spacing w:line="580" w:lineRule="exact"/>
        <w:ind w:firstLine="640" w:firstLineChars="200"/>
        <w:rPr>
          <w:rFonts w:hint="eastAsia" w:ascii="仿宋" w:hAnsi="仿宋" w:eastAsia="仿宋" w:cs="Arial"/>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480" w:firstLineChars="150"/>
        <w:rPr>
          <w:rFonts w:hint="eastAsia" w:ascii="仿宋" w:hAnsi="仿宋" w:eastAsia="仿宋" w:cs="Arial"/>
          <w:kern w:val="32"/>
          <w:sz w:val="32"/>
          <w:szCs w:val="32"/>
        </w:rPr>
      </w:pPr>
      <w:r>
        <w:rPr>
          <w:rFonts w:hint="eastAsia" w:ascii="仿宋" w:hAnsi="仿宋" w:eastAsia="仿宋" w:cs="Arial"/>
          <w:kern w:val="32"/>
          <w:sz w:val="32"/>
          <w:szCs w:val="32"/>
        </w:rPr>
        <w:t xml:space="preserve"> </w:t>
      </w:r>
      <w:r>
        <w:rPr>
          <w:rFonts w:hint="eastAsia" w:ascii="仿宋" w:hAnsi="仿宋" w:eastAsia="仿宋" w:cs="Arial"/>
          <w:kern w:val="32"/>
          <w:sz w:val="32"/>
          <w:szCs w:val="32"/>
          <w:lang w:val="en-US" w:eastAsia="zh-CN"/>
        </w:rPr>
        <w:t>1</w:t>
      </w:r>
      <w:r>
        <w:rPr>
          <w:rFonts w:hint="eastAsia" w:ascii="仿宋" w:hAnsi="仿宋" w:eastAsia="仿宋" w:cs="Arial"/>
          <w:kern w:val="32"/>
          <w:sz w:val="32"/>
          <w:szCs w:val="32"/>
        </w:rPr>
        <w:t>、在建建设规划认定书；</w:t>
      </w:r>
    </w:p>
    <w:p>
      <w:pPr>
        <w:topLinePunct/>
        <w:spacing w:line="580" w:lineRule="exact"/>
        <w:ind w:firstLine="640" w:firstLineChars="200"/>
        <w:rPr>
          <w:rFonts w:hint="eastAsia" w:ascii="仿宋" w:hAnsi="仿宋" w:eastAsia="仿宋" w:cs="仿宋"/>
          <w:kern w:val="32"/>
          <w:sz w:val="32"/>
          <w:szCs w:val="32"/>
        </w:rPr>
      </w:pPr>
      <w:r>
        <w:rPr>
          <w:rFonts w:hint="eastAsia" w:ascii="仿宋" w:hAnsi="仿宋" w:eastAsia="仿宋" w:cs="仿宋"/>
          <w:kern w:val="32"/>
          <w:sz w:val="32"/>
          <w:szCs w:val="32"/>
          <w:lang w:val="en-US" w:eastAsia="zh-CN"/>
        </w:rPr>
        <w:t>2</w:t>
      </w:r>
      <w:r>
        <w:rPr>
          <w:rFonts w:hint="eastAsia" w:ascii="仿宋" w:hAnsi="仿宋" w:eastAsia="仿宋" w:cs="仿宋"/>
          <w:kern w:val="32"/>
          <w:sz w:val="32"/>
          <w:szCs w:val="32"/>
        </w:rPr>
        <w:t>、责令改正通知书</w:t>
      </w:r>
      <w:r>
        <w:rPr>
          <w:rFonts w:hint="eastAsia" w:ascii="仿宋" w:hAnsi="仿宋" w:eastAsia="仿宋" w:cs="仿宋"/>
          <w:kern w:val="32"/>
          <w:sz w:val="32"/>
          <w:szCs w:val="32"/>
          <w:lang w:eastAsia="zh-CN"/>
        </w:rPr>
        <w:t>。</w:t>
      </w:r>
    </w:p>
    <w:p>
      <w:pPr>
        <w:pStyle w:val="8"/>
        <w:topLinePunct/>
        <w:autoSpaceDE/>
        <w:autoSpaceDN/>
        <w:adjustRightInd/>
        <w:spacing w:line="580" w:lineRule="exact"/>
        <w:ind w:firstLine="656" w:firstLineChars="205"/>
        <w:jc w:val="both"/>
        <w:rPr>
          <w:rFonts w:hint="eastAsia" w:ascii="仿宋" w:hAnsi="仿宋_GB2312" w:eastAsia="仿宋" w:cs="仿宋_GB2312"/>
          <w:kern w:val="32"/>
          <w:sz w:val="32"/>
          <w:szCs w:val="32"/>
        </w:rPr>
      </w:pPr>
      <w:r>
        <w:rPr>
          <w:rFonts w:hint="eastAsia" w:ascii="仿宋" w:hAnsi="仿宋" w:eastAsia="仿宋"/>
          <w:bCs/>
          <w:kern w:val="32"/>
          <w:sz w:val="32"/>
          <w:szCs w:val="32"/>
        </w:rPr>
        <w:t>被申请人答复称：</w:t>
      </w:r>
      <w:r>
        <w:rPr>
          <w:rFonts w:hint="eastAsia" w:ascii="仿宋" w:hAnsi="仿宋" w:eastAsia="仿宋" w:cs="Arial"/>
          <w:kern w:val="32"/>
          <w:sz w:val="32"/>
          <w:szCs w:val="32"/>
          <w:lang w:val="en-US" w:eastAsia="zh-CN" w:bidi="ar-SA"/>
        </w:rPr>
        <w:t>根据《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二、案涉认定书不具有强制执行力，对申请人的权利义务不产生实际影响。对申请人的权利义务产生实际影响的并非是案涉认定书，案涉《认定书》仅是对申请人搭建建筑物是否至被申请人处办理规划手续的说明，不具有强制执行力，对申请人的权利义务并不产生实际影响。综上所述，被申请人认为被申请人作出的认定书是合理合法的，不存在应予撤销的情形，申请人的行政复议申请于法无据，请求复议机关依法驳回申请人的行政复议申请。</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被申请人提供的证据有：</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1、现场检查笔录及照片；</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2、停工(核查)通知书及送达回证；</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3、房屋权属登记信息查询结果证明、房屋分户平面图、规划许可办理查询记录；</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4、在建建设规划认定书。</w:t>
      </w:r>
    </w:p>
    <w:p>
      <w:pPr>
        <w:topLinePunct/>
        <w:spacing w:line="580" w:lineRule="exact"/>
        <w:ind w:firstLine="640" w:firstLineChars="200"/>
        <w:rPr>
          <w:rFonts w:hint="eastAsia" w:ascii="仿宋" w:eastAsia="仿宋"/>
          <w:kern w:val="32"/>
          <w:sz w:val="32"/>
        </w:rPr>
      </w:pPr>
      <w:r>
        <w:rPr>
          <w:rFonts w:hint="eastAsia" w:ascii="仿宋" w:hAnsi="仿宋" w:eastAsia="仿宋"/>
          <w:bCs/>
          <w:kern w:val="32"/>
          <w:sz w:val="32"/>
          <w:szCs w:val="32"/>
        </w:rPr>
        <w:t>经审</w:t>
      </w:r>
      <w:r>
        <w:rPr>
          <w:rFonts w:hint="eastAsia" w:ascii="仿宋" w:hAnsi="仿宋" w:eastAsia="仿宋"/>
          <w:bCs/>
          <w:color w:val="auto"/>
          <w:kern w:val="32"/>
          <w:sz w:val="32"/>
          <w:szCs w:val="32"/>
          <w:lang w:eastAsia="zh-CN"/>
        </w:rPr>
        <w:t>理</w:t>
      </w:r>
      <w:r>
        <w:rPr>
          <w:rFonts w:hint="eastAsia" w:ascii="仿宋" w:hAnsi="仿宋" w:eastAsia="仿宋"/>
          <w:bCs/>
          <w:color w:val="auto"/>
          <w:kern w:val="32"/>
          <w:sz w:val="32"/>
          <w:szCs w:val="32"/>
        </w:rPr>
        <w:t>查明：</w:t>
      </w:r>
      <w:r>
        <w:rPr>
          <w:rFonts w:hint="eastAsia" w:ascii="仿宋" w:hAnsi="仿宋" w:eastAsia="仿宋"/>
          <w:bCs/>
          <w:color w:val="auto"/>
          <w:kern w:val="32"/>
          <w:sz w:val="32"/>
          <w:szCs w:val="32"/>
          <w:lang w:eastAsia="zh-CN"/>
        </w:rPr>
        <w:t>申请人为雅鹿臻园</w:t>
      </w:r>
      <w:r>
        <w:rPr>
          <w:rFonts w:hint="eastAsia" w:ascii="仿宋" w:hAnsi="仿宋" w:eastAsia="仿宋"/>
          <w:bCs/>
          <w:color w:val="auto"/>
          <w:kern w:val="32"/>
          <w:sz w:val="32"/>
          <w:szCs w:val="32"/>
          <w:lang w:val="en-US" w:eastAsia="zh-CN"/>
        </w:rPr>
        <w:t>XX幢XX室所有权人。</w:t>
      </w:r>
      <w:r>
        <w:rPr>
          <w:rFonts w:hint="eastAsia" w:ascii="仿宋" w:hAnsi="仿宋" w:eastAsia="仿宋"/>
          <w:bCs/>
          <w:kern w:val="32"/>
          <w:sz w:val="32"/>
          <w:szCs w:val="32"/>
        </w:rPr>
        <w:t>2019年1月24日，太仓市城市管理行政执法局执法人员在检查中发现，太仓市雅鹿臻园</w:t>
      </w:r>
      <w:r>
        <w:rPr>
          <w:rFonts w:hint="eastAsia" w:ascii="仿宋" w:hAnsi="仿宋" w:eastAsia="仿宋"/>
          <w:bCs/>
          <w:kern w:val="32"/>
          <w:sz w:val="32"/>
          <w:szCs w:val="32"/>
          <w:lang w:eastAsia="zh-CN"/>
        </w:rPr>
        <w:t>XX幢XX室</w:t>
      </w:r>
      <w:r>
        <w:rPr>
          <w:rFonts w:hint="eastAsia" w:ascii="仿宋" w:hAnsi="仿宋" w:eastAsia="仿宋"/>
          <w:bCs/>
          <w:kern w:val="32"/>
          <w:sz w:val="32"/>
          <w:szCs w:val="32"/>
        </w:rPr>
        <w:t>二楼和三楼西南侧平台上，</w:t>
      </w:r>
      <w:r>
        <w:rPr>
          <w:rFonts w:hint="eastAsia" w:ascii="仿宋" w:hAnsi="仿宋" w:eastAsia="仿宋"/>
          <w:bCs/>
          <w:kern w:val="32"/>
          <w:sz w:val="32"/>
          <w:szCs w:val="32"/>
          <w:lang w:eastAsia="zh-CN"/>
        </w:rPr>
        <w:t>存在</w:t>
      </w:r>
      <w:r>
        <w:rPr>
          <w:rFonts w:hint="eastAsia" w:ascii="仿宋" w:hAnsi="仿宋" w:eastAsia="仿宋"/>
          <w:bCs/>
          <w:kern w:val="32"/>
          <w:sz w:val="32"/>
          <w:szCs w:val="32"/>
        </w:rPr>
        <w:t>用铝合金、玻璃等材料</w:t>
      </w:r>
      <w:r>
        <w:rPr>
          <w:rFonts w:hint="eastAsia" w:ascii="仿宋" w:hAnsi="仿宋" w:eastAsia="仿宋"/>
          <w:bCs/>
          <w:kern w:val="32"/>
          <w:sz w:val="32"/>
          <w:szCs w:val="32"/>
          <w:lang w:eastAsia="zh-CN"/>
        </w:rPr>
        <w:t>进行</w:t>
      </w:r>
      <w:r>
        <w:rPr>
          <w:rFonts w:hint="eastAsia" w:ascii="仿宋" w:hAnsi="仿宋" w:eastAsia="仿宋"/>
          <w:bCs/>
          <w:kern w:val="32"/>
          <w:sz w:val="32"/>
          <w:szCs w:val="32"/>
        </w:rPr>
        <w:t>搭建</w:t>
      </w:r>
      <w:r>
        <w:rPr>
          <w:rFonts w:hint="eastAsia" w:ascii="仿宋" w:hAnsi="仿宋" w:eastAsia="仿宋"/>
          <w:bCs/>
          <w:kern w:val="32"/>
          <w:sz w:val="32"/>
          <w:szCs w:val="32"/>
          <w:lang w:eastAsia="zh-CN"/>
        </w:rPr>
        <w:t>的情况</w:t>
      </w:r>
      <w:r>
        <w:rPr>
          <w:rFonts w:hint="eastAsia" w:ascii="仿宋" w:hAnsi="仿宋" w:eastAsia="仿宋"/>
          <w:bCs/>
          <w:kern w:val="32"/>
          <w:sz w:val="32"/>
          <w:szCs w:val="32"/>
        </w:rPr>
        <w:t>，面积合计20.4平方米。</w:t>
      </w:r>
      <w:r>
        <w:rPr>
          <w:rFonts w:hint="eastAsia" w:ascii="仿宋" w:hAnsi="仿宋" w:eastAsia="仿宋"/>
          <w:bCs/>
          <w:kern w:val="32"/>
          <w:sz w:val="32"/>
          <w:szCs w:val="32"/>
          <w:lang w:val="en-US" w:eastAsia="zh-CN"/>
        </w:rPr>
        <w:t>2019年1月31日，</w:t>
      </w:r>
      <w:r>
        <w:rPr>
          <w:rFonts w:hint="eastAsia" w:ascii="仿宋" w:hAnsi="仿宋" w:eastAsia="仿宋"/>
          <w:bCs/>
          <w:kern w:val="32"/>
          <w:sz w:val="32"/>
          <w:szCs w:val="32"/>
        </w:rPr>
        <w:t>太仓市城市管理行政执法局</w:t>
      </w:r>
      <w:r>
        <w:rPr>
          <w:rFonts w:hint="eastAsia" w:ascii="仿宋" w:hAnsi="仿宋" w:eastAsia="仿宋"/>
          <w:bCs/>
          <w:kern w:val="32"/>
          <w:sz w:val="32"/>
          <w:szCs w:val="32"/>
          <w:lang w:eastAsia="zh-CN"/>
        </w:rPr>
        <w:t>将相关情况报太仓市住房和城乡建设局，同日</w:t>
      </w:r>
      <w:r>
        <w:rPr>
          <w:rFonts w:hint="eastAsia" w:ascii="仿宋" w:hAnsi="仿宋" w:eastAsia="仿宋"/>
          <w:bCs/>
          <w:kern w:val="32"/>
          <w:sz w:val="32"/>
          <w:szCs w:val="32"/>
        </w:rPr>
        <w:t>，</w:t>
      </w:r>
      <w:r>
        <w:rPr>
          <w:rFonts w:hint="eastAsia" w:ascii="仿宋" w:hAnsi="仿宋" w:eastAsia="仿宋"/>
          <w:bCs/>
          <w:kern w:val="32"/>
          <w:sz w:val="32"/>
          <w:szCs w:val="32"/>
          <w:lang w:eastAsia="zh-CN"/>
        </w:rPr>
        <w:t>太仓市住房和城乡建设局</w:t>
      </w:r>
      <w:r>
        <w:rPr>
          <w:rFonts w:hint="eastAsia" w:ascii="仿宋" w:hAnsi="仿宋" w:eastAsia="仿宋"/>
          <w:bCs/>
          <w:kern w:val="32"/>
          <w:sz w:val="32"/>
          <w:szCs w:val="32"/>
        </w:rPr>
        <w:t>作出《在建建设规划认定书》</w:t>
      </w:r>
      <w:r>
        <w:rPr>
          <w:rFonts w:hint="eastAsia" w:ascii="仿宋" w:hAnsi="仿宋" w:eastAsia="仿宋"/>
          <w:bCs/>
          <w:kern w:val="32"/>
          <w:sz w:val="32"/>
          <w:szCs w:val="32"/>
          <w:lang w:eastAsia="zh-CN"/>
        </w:rPr>
        <w:t>（文书编号：</w:t>
      </w:r>
      <w:r>
        <w:rPr>
          <w:rFonts w:hint="eastAsia" w:ascii="仿宋" w:hAnsi="仿宋" w:eastAsia="仿宋"/>
          <w:bCs/>
          <w:kern w:val="32"/>
          <w:sz w:val="32"/>
          <w:szCs w:val="32"/>
          <w:lang w:val="en-US" w:eastAsia="zh-CN"/>
        </w:rPr>
        <w:t>1900083</w:t>
      </w:r>
      <w:r>
        <w:rPr>
          <w:rFonts w:hint="eastAsia" w:ascii="仿宋" w:hAnsi="仿宋" w:eastAsia="仿宋"/>
          <w:bCs/>
          <w:kern w:val="32"/>
          <w:sz w:val="32"/>
          <w:szCs w:val="32"/>
          <w:lang w:eastAsia="zh-CN"/>
        </w:rPr>
        <w:t>）</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XX室</w:t>
      </w:r>
      <w:r>
        <w:rPr>
          <w:rFonts w:hint="eastAsia" w:ascii="仿宋" w:hAnsi="仿宋" w:eastAsia="仿宋"/>
          <w:bCs/>
          <w:kern w:val="32"/>
          <w:sz w:val="32"/>
          <w:szCs w:val="32"/>
        </w:rPr>
        <w:t>拟搭建的建筑物未办理建设工程规划许可证，属违法建设。</w:t>
      </w:r>
      <w:r>
        <w:rPr>
          <w:rFonts w:hint="eastAsia" w:ascii="仿宋" w:hAnsi="仿宋" w:eastAsia="仿宋"/>
          <w:bCs/>
          <w:color w:val="auto"/>
          <w:kern w:val="32"/>
          <w:sz w:val="32"/>
          <w:szCs w:val="32"/>
          <w:lang w:eastAsia="zh-CN"/>
        </w:rPr>
        <w:t>”</w:t>
      </w:r>
      <w:r>
        <w:rPr>
          <w:rFonts w:hint="eastAsia" w:ascii="仿宋" w:hAnsi="仿宋" w:eastAsia="仿宋"/>
          <w:bCs/>
          <w:kern w:val="32"/>
          <w:sz w:val="32"/>
          <w:szCs w:val="32"/>
        </w:rPr>
        <w:t>2月14日，该认定书送达申请人</w:t>
      </w:r>
      <w:bookmarkStart w:id="0" w:name="_GoBack"/>
      <w:bookmarkEnd w:id="0"/>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1、房屋权属登记信息查询结果证明。证明申请人</w:t>
      </w:r>
      <w:r>
        <w:rPr>
          <w:rFonts w:hint="eastAsia" w:ascii="仿宋" w:hAnsi="仿宋" w:eastAsia="仿宋"/>
          <w:bCs/>
          <w:kern w:val="32"/>
          <w:sz w:val="32"/>
          <w:szCs w:val="32"/>
          <w:lang w:eastAsia="zh-CN"/>
        </w:rPr>
        <w:t>为涉案房屋产权人。</w:t>
      </w:r>
    </w:p>
    <w:p>
      <w:pPr>
        <w:pStyle w:val="8"/>
        <w:topLinePunct/>
        <w:autoSpaceDE/>
        <w:autoSpaceDN/>
        <w:adjustRightInd/>
        <w:spacing w:line="580" w:lineRule="exact"/>
        <w:ind w:firstLine="640" w:firstLineChars="200"/>
        <w:jc w:val="both"/>
        <w:rPr>
          <w:rFonts w:hint="eastAsia" w:ascii="仿宋" w:hAnsi="仿宋_GB2312" w:eastAsia="仿宋" w:cs="仿宋_GB2312"/>
          <w:kern w:val="32"/>
          <w:sz w:val="32"/>
        </w:rPr>
      </w:pPr>
      <w:r>
        <w:rPr>
          <w:rFonts w:hint="eastAsia" w:ascii="仿宋" w:hAnsi="仿宋" w:eastAsia="仿宋" w:cs="Times New Roman"/>
          <w:bCs/>
          <w:kern w:val="32"/>
          <w:sz w:val="32"/>
          <w:szCs w:val="32"/>
          <w:lang w:val="en-US" w:eastAsia="zh-CN" w:bidi="ar-SA"/>
        </w:rPr>
        <w:t>2、房屋分户平面图、规划许可办理查询记录、现场检查笔录及照片。</w:t>
      </w:r>
      <w:r>
        <w:rPr>
          <w:rFonts w:hint="eastAsia" w:ascii="仿宋" w:hAnsi="仿宋_GB2312" w:eastAsia="仿宋" w:cs="仿宋_GB2312"/>
          <w:kern w:val="32"/>
          <w:sz w:val="32"/>
        </w:rPr>
        <w:t>证明申请人</w:t>
      </w:r>
      <w:r>
        <w:rPr>
          <w:rFonts w:hint="eastAsia" w:ascii="仿宋" w:hAnsi="仿宋_GB2312" w:eastAsia="仿宋" w:cs="仿宋_GB2312"/>
          <w:kern w:val="32"/>
          <w:sz w:val="32"/>
          <w:lang w:eastAsia="zh-CN"/>
        </w:rPr>
        <w:t>未向</w:t>
      </w:r>
      <w:r>
        <w:rPr>
          <w:rFonts w:hint="eastAsia" w:ascii="仿宋" w:hAnsi="仿宋" w:eastAsia="仿宋"/>
          <w:bCs/>
          <w:kern w:val="32"/>
          <w:sz w:val="32"/>
          <w:szCs w:val="32"/>
          <w:lang w:eastAsia="zh-CN"/>
        </w:rPr>
        <w:t>太仓市住房和城乡建设局</w:t>
      </w:r>
      <w:r>
        <w:rPr>
          <w:rFonts w:hint="eastAsia" w:ascii="仿宋" w:hAnsi="仿宋_GB2312" w:eastAsia="仿宋" w:cs="仿宋_GB2312"/>
          <w:kern w:val="32"/>
          <w:sz w:val="32"/>
          <w:lang w:eastAsia="zh-CN"/>
        </w:rPr>
        <w:t>申请规划许可即</w:t>
      </w:r>
      <w:r>
        <w:rPr>
          <w:rFonts w:hint="eastAsia" w:ascii="仿宋" w:hAnsi="仿宋_GB2312" w:eastAsia="仿宋" w:cs="仿宋_GB2312"/>
          <w:kern w:val="32"/>
          <w:sz w:val="32"/>
        </w:rPr>
        <w:t>进行搭建的</w:t>
      </w:r>
      <w:r>
        <w:rPr>
          <w:rFonts w:hint="eastAsia" w:ascii="仿宋" w:eastAsia="仿宋"/>
          <w:kern w:val="32"/>
          <w:sz w:val="32"/>
          <w:szCs w:val="29"/>
        </w:rPr>
        <w:t>事实</w:t>
      </w:r>
      <w:r>
        <w:rPr>
          <w:rFonts w:hint="eastAsia" w:ascii="仿宋" w:eastAsia="仿宋"/>
          <w:kern w:val="32"/>
          <w:sz w:val="32"/>
          <w:szCs w:val="29"/>
          <w:lang w:eastAsia="zh-CN"/>
        </w:rPr>
        <w:t>。</w:t>
      </w:r>
    </w:p>
    <w:p>
      <w:pPr>
        <w:pStyle w:val="8"/>
        <w:topLinePunct/>
        <w:autoSpaceDE/>
        <w:autoSpaceDN/>
        <w:adjustRightInd/>
        <w:spacing w:line="580" w:lineRule="exact"/>
        <w:ind w:firstLine="640" w:firstLineChars="200"/>
        <w:jc w:val="both"/>
        <w:rPr>
          <w:rFonts w:hint="eastAsia" w:ascii="仿宋" w:hAnsi="仿宋" w:eastAsia="仿宋" w:cs="Times New Roman"/>
          <w:bCs/>
          <w:kern w:val="32"/>
          <w:sz w:val="32"/>
          <w:szCs w:val="32"/>
          <w:lang w:val="en-US" w:eastAsia="zh-CN" w:bidi="ar-SA"/>
        </w:rPr>
      </w:pPr>
      <w:r>
        <w:rPr>
          <w:rFonts w:hint="eastAsia" w:ascii="仿宋" w:hAnsi="仿宋" w:eastAsia="仿宋" w:cs="Times New Roman"/>
          <w:bCs/>
          <w:kern w:val="32"/>
          <w:sz w:val="32"/>
          <w:szCs w:val="32"/>
          <w:lang w:val="en-US" w:eastAsia="zh-CN" w:bidi="ar-SA"/>
        </w:rPr>
        <w:t>3、在建建设规划认定书。证明</w:t>
      </w:r>
      <w:r>
        <w:rPr>
          <w:rFonts w:hint="eastAsia" w:ascii="仿宋" w:hAnsi="仿宋" w:eastAsia="仿宋"/>
          <w:bCs/>
          <w:kern w:val="32"/>
          <w:sz w:val="32"/>
          <w:szCs w:val="32"/>
          <w:lang w:eastAsia="zh-CN"/>
        </w:rPr>
        <w:t>太仓市住房和城乡建设局</w:t>
      </w:r>
      <w:r>
        <w:rPr>
          <w:rFonts w:hint="eastAsia" w:ascii="仿宋" w:hAnsi="仿宋" w:eastAsia="仿宋" w:cs="Times New Roman"/>
          <w:bCs/>
          <w:kern w:val="32"/>
          <w:sz w:val="32"/>
          <w:szCs w:val="32"/>
          <w:lang w:val="en-US" w:eastAsia="zh-CN" w:bidi="ar-SA"/>
        </w:rPr>
        <w:t xml:space="preserve">认定申请人进行的搭建属违法建设的内容和时间。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本机关认为：</w:t>
      </w:r>
      <w:r>
        <w:rPr>
          <w:rFonts w:hint="eastAsia" w:ascii="仿宋" w:hAnsi="仿宋" w:eastAsia="仿宋"/>
          <w:bCs/>
          <w:color w:val="auto"/>
          <w:kern w:val="32"/>
          <w:sz w:val="32"/>
          <w:szCs w:val="32"/>
        </w:rPr>
        <w:t>县级以上地方人民政府城乡规划主管部门负责本行政区域内的城乡规划管理工作</w:t>
      </w:r>
      <w:r>
        <w:rPr>
          <w:rFonts w:hint="eastAsia" w:ascii="仿宋" w:hAnsi="仿宋" w:eastAsia="仿宋"/>
          <w:bCs/>
          <w:color w:val="auto"/>
          <w:kern w:val="32"/>
          <w:sz w:val="32"/>
          <w:szCs w:val="32"/>
          <w:lang w:eastAsia="zh-CN"/>
        </w:rPr>
        <w:t>，太仓市住房和城乡建设局是进行违法建设认定的有权部门。在行政复议过程中，因机构改革，太仓市住房和城乡建设局的城乡规划管理职能转入太仓市自然资源和规划局，因此，太仓市自然资源和规划局是本案适格被申请人。</w:t>
      </w:r>
      <w:r>
        <w:rPr>
          <w:rFonts w:hint="eastAsia" w:ascii="仿宋" w:eastAsia="仿宋"/>
          <w:color w:val="auto"/>
          <w:kern w:val="32"/>
          <w:sz w:val="32"/>
          <w:szCs w:val="28"/>
        </w:rPr>
        <w:t>《</w:t>
      </w:r>
      <w:r>
        <w:rPr>
          <w:rFonts w:hint="eastAsia" w:ascii="仿宋" w:eastAsia="仿宋"/>
          <w:kern w:val="32"/>
          <w:sz w:val="32"/>
          <w:szCs w:val="28"/>
        </w:rPr>
        <w:t>中华人民共和国城市规划法》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仿宋" w:eastAsia="仿宋"/>
          <w:color w:val="auto"/>
          <w:kern w:val="32"/>
          <w:sz w:val="32"/>
          <w:szCs w:val="28"/>
          <w:lang w:eastAsia="zh-CN"/>
        </w:rPr>
        <w:t>”</w:t>
      </w:r>
      <w:r>
        <w:rPr>
          <w:rFonts w:hint="eastAsia" w:ascii="仿宋" w:eastAsia="仿宋"/>
          <w:kern w:val="32"/>
          <w:sz w:val="32"/>
          <w:szCs w:val="28"/>
        </w:rPr>
        <w:t>本案中，</w:t>
      </w:r>
      <w:r>
        <w:rPr>
          <w:rFonts w:hint="eastAsia" w:ascii="仿宋" w:eastAsia="仿宋"/>
          <w:color w:val="auto"/>
          <w:kern w:val="32"/>
          <w:sz w:val="32"/>
          <w:szCs w:val="28"/>
          <w:lang w:eastAsia="zh-CN"/>
        </w:rPr>
        <w:t>雅鹿臻园位于城市规划区内，</w:t>
      </w:r>
      <w:r>
        <w:rPr>
          <w:rFonts w:hint="eastAsia" w:ascii="仿宋" w:eastAsia="仿宋"/>
          <w:kern w:val="32"/>
          <w:sz w:val="32"/>
          <w:szCs w:val="28"/>
        </w:rPr>
        <w:t>申请人未</w:t>
      </w:r>
      <w:r>
        <w:rPr>
          <w:rFonts w:hint="eastAsia" w:ascii="仿宋" w:eastAsia="仿宋"/>
          <w:kern w:val="32"/>
          <w:sz w:val="32"/>
          <w:szCs w:val="28"/>
          <w:lang w:eastAsia="zh-CN"/>
        </w:rPr>
        <w:t>取得</w:t>
      </w:r>
      <w:r>
        <w:rPr>
          <w:rFonts w:hint="eastAsia" w:ascii="仿宋" w:eastAsia="仿宋"/>
          <w:kern w:val="32"/>
          <w:sz w:val="32"/>
          <w:szCs w:val="28"/>
        </w:rPr>
        <w:t>建设工程规划许可证即进行建设，</w:t>
      </w:r>
      <w:r>
        <w:rPr>
          <w:rFonts w:hint="eastAsia" w:ascii="仿宋" w:eastAsia="仿宋"/>
          <w:kern w:val="32"/>
          <w:sz w:val="32"/>
          <w:szCs w:val="28"/>
          <w:lang w:eastAsia="zh-CN"/>
        </w:rPr>
        <w:t>违反了上述规定。</w:t>
      </w:r>
      <w:r>
        <w:rPr>
          <w:rFonts w:hint="eastAsia" w:ascii="仿宋" w:hAnsi="仿宋" w:eastAsia="仿宋"/>
          <w:bCs/>
          <w:color w:val="auto"/>
          <w:kern w:val="32"/>
          <w:sz w:val="32"/>
          <w:szCs w:val="32"/>
          <w:lang w:eastAsia="zh-CN"/>
        </w:rPr>
        <w:t>太仓市住房和城乡建设局</w:t>
      </w:r>
      <w:r>
        <w:rPr>
          <w:rFonts w:hint="eastAsia" w:ascii="仿宋" w:eastAsia="仿宋"/>
          <w:kern w:val="32"/>
          <w:sz w:val="32"/>
          <w:szCs w:val="28"/>
          <w:lang w:eastAsia="zh-CN"/>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根据《中华人民共和国行政复议法》第</w:t>
      </w:r>
      <w:r>
        <w:rPr>
          <w:rFonts w:hint="eastAsia" w:ascii="仿宋" w:hAnsi="仿宋" w:eastAsia="仿宋"/>
          <w:bCs/>
          <w:kern w:val="32"/>
          <w:sz w:val="32"/>
          <w:szCs w:val="32"/>
          <w:lang w:eastAsia="zh-CN"/>
        </w:rPr>
        <w:t>二</w:t>
      </w:r>
      <w:r>
        <w:rPr>
          <w:rFonts w:hint="eastAsia" w:ascii="仿宋" w:hAnsi="仿宋" w:eastAsia="仿宋"/>
          <w:bCs/>
          <w:kern w:val="32"/>
          <w:sz w:val="32"/>
          <w:szCs w:val="32"/>
        </w:rPr>
        <w:t>十八条第一款第一项之规定，本机关决定如下：</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维持</w:t>
      </w:r>
      <w:r>
        <w:rPr>
          <w:rFonts w:hint="eastAsia" w:ascii="仿宋" w:hAnsi="仿宋" w:eastAsia="仿宋"/>
          <w:bCs/>
          <w:kern w:val="32"/>
          <w:sz w:val="32"/>
          <w:szCs w:val="32"/>
          <w:lang w:eastAsia="zh-CN"/>
        </w:rPr>
        <w:t>被申请人（承接太仓市住房和城乡建设局城乡规划管理职能）作出的</w:t>
      </w:r>
      <w:r>
        <w:rPr>
          <w:rFonts w:hint="eastAsia" w:ascii="仿宋" w:hAnsi="仿宋" w:eastAsia="仿宋"/>
          <w:bCs/>
          <w:kern w:val="32"/>
          <w:sz w:val="32"/>
          <w:szCs w:val="32"/>
        </w:rPr>
        <w:t>《在建建设规划认定书》。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如对本决定不服，可以自接到本决定书之日起15日内，向人民法院提起行政诉讼。</w:t>
      </w:r>
    </w:p>
    <w:p>
      <w:pPr>
        <w:topLinePunct/>
        <w:spacing w:line="580" w:lineRule="exact"/>
        <w:ind w:firstLine="640" w:firstLineChars="200"/>
        <w:rPr>
          <w:rFonts w:hint="eastAsia" w:ascii="仿宋" w:hAnsi="仿宋" w:eastAsia="仿宋"/>
          <w:bCs/>
          <w:kern w:val="32"/>
          <w:sz w:val="32"/>
          <w:szCs w:val="32"/>
        </w:rPr>
      </w:pPr>
    </w:p>
    <w:p>
      <w:pPr>
        <w:topLinePunct/>
        <w:spacing w:line="580" w:lineRule="exact"/>
        <w:ind w:firstLine="640" w:firstLineChars="200"/>
        <w:jc w:val="right"/>
        <w:rPr>
          <w:rFonts w:hint="eastAsia" w:ascii="仿宋" w:hAnsi="仿宋" w:eastAsia="仿宋"/>
          <w:bCs/>
          <w:kern w:val="32"/>
          <w:sz w:val="32"/>
          <w:szCs w:val="32"/>
        </w:rPr>
      </w:pPr>
      <w:r>
        <w:rPr>
          <w:rFonts w:hint="eastAsia" w:ascii="仿宋" w:hAnsi="仿宋" w:eastAsia="仿宋"/>
          <w:bCs/>
          <w:kern w:val="32"/>
          <w:sz w:val="32"/>
          <w:szCs w:val="32"/>
        </w:rPr>
        <w:t xml:space="preserve">                         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年五月八日</w:t>
      </w:r>
    </w:p>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A4657"/>
    <w:rsid w:val="180779C1"/>
    <w:rsid w:val="1F4F6CD1"/>
    <w:rsid w:val="2CE4083D"/>
    <w:rsid w:val="323A4657"/>
    <w:rsid w:val="64C53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qFormat/>
    <w:uiPriority w:val="0"/>
  </w:style>
  <w:style w:type="paragraph" w:customStyle="1" w:styleId="8">
    <w:name w:val="样式"/>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dcterms:modified xsi:type="dcterms:W3CDTF">2019-09-27T07:20:34Z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