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太仓市201</w:t>
      </w: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7</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年政府</w:t>
      </w: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信息</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公开工作年度报告</w:t>
      </w:r>
    </w:p>
    <w:p>
      <w:pPr>
        <w:rPr>
          <w:sz w:val="32"/>
          <w:szCs w:val="32"/>
        </w:rPr>
      </w:pP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报是根据《中华人民共和国政府信息公开条例》（以下简称“《条例》”），由太仓市人民政府办公室编制。本年报由概述，主动公开政府信息情况，依申请公开政府信息情况，复议、诉讼和申诉情况，政府信息公开支出及收费情况，存在的问题及改进措施等部分组成。本年报所列数据的统计期限自2017年1月1日起至2017年12月31日止。本报告通过“中国太仓”和档案馆公共查阅场所公布。本年报的电子版可在（http://www.taicang.gov.cn）下载。如对年报有任何疑问，请与市政府办公室信息公开科联系（地址：县府东街99号，邮编：215400，电话0512-53952450）。</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我市深入贯彻落实党的十九大和习近平总书记系列重要讲话精神，在省、苏州市政府的正确领导下，全面贯彻执行《中华人民共和国政府信息公开条例》和《国务院办公厅关于印发2017年政务公开工作要点的通知》等文件精神，将政务公开工作作为促进依法行政和建设服务型政府的重要举措常抓不懈，主动、及时、规范公开政府信息，切实保障公民获取政府信息的知情权、参与权和监督权。</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二、主动公开及政务公开要点落实情况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（一）加强组织保障</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制订</w:t>
      </w:r>
      <w:r>
        <w:rPr>
          <w:rFonts w:hint="eastAsia" w:ascii="仿宋_GB2312" w:hAnsi="仿宋_GB2312" w:eastAsia="仿宋_GB2312" w:cs="仿宋_GB2312"/>
          <w:sz w:val="32"/>
          <w:szCs w:val="32"/>
          <w:lang w:val="zh-CN"/>
        </w:rPr>
        <w:t>下发《市政府关于调整太仓市政务公开领导小组成员的通知》，调整后由常务副市长任组长，市委、市政府办公室主任任副组长，市相关职能部门主要负责人为成员，实现了领导、机构、人员“三到位”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（二）深化重点领域信息公开</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仿宋_GB2312" w:hAnsi="仿宋_GB2312" w:eastAsia="仿宋_GB2312" w:cs="仿宋_GB2312"/>
          <w:sz w:val="32"/>
          <w:szCs w:val="32"/>
          <w:highlight w:val="lightGray"/>
          <w:lang w:eastAsia="zh-CN"/>
        </w:rPr>
      </w:pPr>
      <w:r>
        <w:rPr>
          <w:rFonts w:hint="eastAsia" w:ascii="楷体_GB2312" w:hAnsi="楷体_GB2312" w:eastAsia="楷体_GB2312" w:cs="楷体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围绕深化改革推进公开。</w:t>
      </w:r>
      <w:r>
        <w:rPr>
          <w:rFonts w:hint="eastAsia" w:ascii="仿宋_GB2312" w:hAnsi="仿宋_GB2312" w:eastAsia="仿宋_GB2312" w:cs="仿宋_GB2312"/>
          <w:sz w:val="32"/>
          <w:szCs w:val="32"/>
          <w:highlight w:val="none"/>
          <w:lang w:eastAsia="zh-CN"/>
        </w:rPr>
        <w:t>加快融入政务服务“一张网”工作，实现行政权力“三级四同”标准化，规范我市行政权力事项管理和动态调整，行政权力事项及办事指南均在门户网站公开。加快信用平台建设，进一步完善数据采集机制，扩大信用信息归集的数据范围，提升信用数据的质量，为政府部门、企业和社会公众提供分类监管、信用预警、联合奖惩、信用查询等服务。“双公示”工作有序推动，开展行政许可和行政处罚等信用信息自作出决定7个工作日内在网上公示的“双公示”工作，促进行政管理透明化，规范权力运行，提升政府公信力。截止2017年12月底，在“诚信太仓”网站上公示行政许可信息66490条，行政处罚信息9304条。太仓市公共信用信息服务平台与苏州市公共信用信息中心系统对接，信息实时推送到苏州市公共信用服务平台。配合苏州信用办做好“双公示”国家第三方评估相关工作。</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仿宋_GB2312" w:hAnsi="仿宋_GB2312" w:eastAsia="仿宋_GB2312" w:cs="仿宋_GB2312"/>
          <w:sz w:val="32"/>
          <w:szCs w:val="32"/>
          <w:highlight w:val="lightGray"/>
          <w:lang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eastAsia="zh-CN"/>
        </w:rPr>
        <w:t>围绕促进经济发展推进公开。</w:t>
      </w:r>
      <w:r>
        <w:rPr>
          <w:rFonts w:hint="eastAsia" w:ascii="仿宋_GB2312" w:hAnsi="仿宋_GB2312" w:eastAsia="仿宋_GB2312" w:cs="仿宋_GB2312"/>
          <w:sz w:val="32"/>
          <w:szCs w:val="32"/>
          <w:highlight w:val="none"/>
          <w:lang w:eastAsia="zh-CN"/>
        </w:rPr>
        <w:t>重点围绕税制改革、减税降费政策措施、创新创业、保障改善民生等税收优惠政策做好政务公开工作，充分依托网站、报纸、新媒体、电子显示屏、多媒体触摸屏、公告栏、宣传板等载体拓展信息公开覆盖面，全年发布网站信息</w:t>
      </w:r>
      <w:r>
        <w:rPr>
          <w:rFonts w:hint="eastAsia" w:ascii="仿宋_GB2312" w:hAnsi="仿宋_GB2312" w:eastAsia="仿宋_GB2312" w:cs="仿宋_GB2312"/>
          <w:sz w:val="32"/>
          <w:szCs w:val="32"/>
          <w:highlight w:val="none"/>
          <w:lang w:val="en-US" w:eastAsia="zh-CN"/>
        </w:rPr>
        <w:t>800余条，微信信息500余条，并</w:t>
      </w:r>
      <w:r>
        <w:rPr>
          <w:rFonts w:hint="eastAsia" w:ascii="仿宋_GB2312" w:hAnsi="仿宋_GB2312" w:eastAsia="仿宋_GB2312" w:cs="仿宋_GB2312"/>
          <w:sz w:val="32"/>
          <w:szCs w:val="32"/>
          <w:highlight w:val="none"/>
          <w:lang w:eastAsia="zh-CN"/>
        </w:rPr>
        <w:t>在《新华日报》《中国税务报》《苏州日报》等媒体上发表信息70余篇；积极开展政策解读、纳税人培训等20余场，近2000户纳税人参加；印制发放营改增纳税人办税指南等多种类别的宣传册子共计12100份，确保纳税人学政策、得实惠。突出价费政策信息公开，实时更新《行政事业收费目录》、涉企收费动态调整后的清单，及时公开清理规范涉企收费、调整蒸汽销售价格、降低企业用电等要素成本的各项政策措施以及执行落实情况，及时发布政府定价或指导价商品和经营服务性收费清单、中介服务收费清单内容，不断扩大传播范围，让更多市场主体知晓政策、享受优惠。让权力置于阳光之下。</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仿宋_GB2312" w:hAnsi="仿宋_GB2312" w:eastAsia="仿宋_GB2312" w:cs="仿宋_GB2312"/>
          <w:sz w:val="32"/>
          <w:szCs w:val="32"/>
          <w:highlight w:val="lightGray"/>
          <w:lang w:eastAsia="zh-CN"/>
        </w:rPr>
      </w:pPr>
      <w:r>
        <w:rPr>
          <w:rFonts w:hint="eastAsia" w:ascii="仿宋_GB2312" w:hAnsi="仿宋_GB2312" w:eastAsia="仿宋_GB2312" w:cs="仿宋_GB2312"/>
          <w:b/>
          <w:bCs/>
          <w:sz w:val="32"/>
          <w:szCs w:val="32"/>
          <w:highlight w:val="none"/>
          <w:lang w:val="en-US" w:eastAsia="zh-CN"/>
        </w:rPr>
        <w:t>3.围绕民生改善推进公开。</w:t>
      </w:r>
      <w:r>
        <w:rPr>
          <w:rFonts w:hint="eastAsia" w:ascii="仿宋_GB2312" w:hAnsi="仿宋_GB2312" w:eastAsia="仿宋_GB2312" w:cs="仿宋_GB2312"/>
          <w:sz w:val="32"/>
          <w:szCs w:val="32"/>
          <w:highlight w:val="none"/>
          <w:lang w:eastAsia="zh-CN"/>
        </w:rPr>
        <w:t>重点围绕创新创业、援企稳岗、化解过剩产能职工分流等方面加大政策公开力度，通过网站、手机APP、人才网公众号微信等，及时公布就业创业补贴信息。发布就业援助月、“春风行动”、民营企业招聘周、“创业宣传月”等专题活动信息</w:t>
      </w:r>
      <w:r>
        <w:rPr>
          <w:rFonts w:hint="eastAsia" w:ascii="仿宋_GB2312" w:hAnsi="仿宋_GB2312" w:eastAsia="仿宋_GB2312" w:cs="仿宋_GB2312"/>
          <w:sz w:val="32"/>
          <w:szCs w:val="32"/>
          <w:highlight w:val="none"/>
          <w:lang w:val="en-US" w:eastAsia="zh-CN"/>
        </w:rPr>
        <w:t>459条，发布就业岗位信息323969条。</w:t>
      </w:r>
      <w:r>
        <w:rPr>
          <w:rFonts w:hint="eastAsia" w:ascii="仿宋_GB2312" w:hAnsi="仿宋_GB2312" w:eastAsia="仿宋_GB2312" w:cs="仿宋_GB2312"/>
          <w:sz w:val="32"/>
          <w:szCs w:val="32"/>
          <w:highlight w:val="none"/>
          <w:lang w:eastAsia="zh-CN"/>
        </w:rPr>
        <w:t>强化食品药品安全等重要领域的监管信息公开工作，全年发布食药监管信息108条、食药红黑榜22条，食品、药品、餐饮等专项检查和整治行动案件处罚结果均在诚信太仓公示。</w:t>
      </w:r>
      <w:r>
        <w:rPr>
          <w:rFonts w:hint="eastAsia" w:ascii="仿宋_GB2312" w:hAnsi="仿宋_GB2312" w:eastAsia="仿宋_GB2312" w:cs="仿宋_GB2312"/>
          <w:sz w:val="32"/>
          <w:szCs w:val="32"/>
          <w:highlight w:val="none"/>
          <w:lang w:val="zh-CN" w:eastAsia="zh-CN"/>
        </w:rPr>
        <w:t>围绕实施精准扶贫、精准脱贫工作，公开发布</w:t>
      </w:r>
      <w:r>
        <w:rPr>
          <w:rFonts w:hint="eastAsia" w:ascii="仿宋_GB2312" w:hAnsi="仿宋_GB2312" w:eastAsia="仿宋_GB2312" w:cs="仿宋_GB2312"/>
          <w:sz w:val="32"/>
          <w:szCs w:val="32"/>
          <w:highlight w:val="none"/>
          <w:lang w:eastAsia="zh-CN"/>
        </w:rPr>
        <w:t>《关于开展新一轮挂钩帮扶集体经济薄弱村工作的实施方案》，并对挂钩帮扶的成效、资金、项目安排等信息进行公开。加大棚户区改造、保障性住房等信息的公开力度，发布棚户区改造和保障性住房信息</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lang w:eastAsia="zh-CN"/>
        </w:rPr>
        <w:t>余条，实现了棚改项目进展、保障房的房源、申请程序、配租和选房摇号结果全公开。全面推进环境保护信息公开，通过微博和门户网站空气质量指数发布平台发布空气质量日报近210条，公开空气质量指数、优良程度、首要污染物、24小时环境质量状况等信息。对全市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家国家重点监控企业进行日常在线监控，发布监控数据23.</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万条，数据向社会公布，接受公众查询和监督。省环保督察期间，及时公开了26批共计55件省环境保护督察交办信访问题调查处理情况的通报，内容包含信访受理编号、交办问题基本情况、调查核实情况以及处理整改情况，让市民及时详尽了解省环保督察信访交办件办理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4.围绕助力政府建设推进公开。</w:t>
      </w:r>
      <w:r>
        <w:rPr>
          <w:rFonts w:hint="eastAsia" w:ascii="仿宋_GB2312" w:hAnsi="仿宋_GB2312" w:eastAsia="仿宋_GB2312" w:cs="仿宋_GB2312"/>
          <w:sz w:val="32"/>
          <w:szCs w:val="32"/>
          <w:highlight w:val="none"/>
        </w:rPr>
        <w:t>制定</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公布</w:t>
      </w:r>
      <w:r>
        <w:rPr>
          <w:rFonts w:hint="eastAsia" w:ascii="仿宋_GB2312" w:hAnsi="仿宋_GB2312" w:eastAsia="仿宋_GB2312" w:cs="仿宋_GB2312"/>
          <w:sz w:val="32"/>
          <w:szCs w:val="32"/>
          <w:highlight w:val="none"/>
          <w:lang w:val="en-US" w:eastAsia="zh-CN"/>
        </w:rPr>
        <w:t>2017</w:t>
      </w:r>
      <w:r>
        <w:rPr>
          <w:rFonts w:hint="eastAsia" w:ascii="仿宋_GB2312" w:hAnsi="仿宋_GB2312" w:eastAsia="仿宋_GB2312" w:cs="仿宋_GB2312"/>
          <w:sz w:val="32"/>
          <w:szCs w:val="32"/>
          <w:highlight w:val="none"/>
        </w:rPr>
        <w:t>年度重大行政决策目录，确定全市具有基础性、全局性和影响面广的重大行政决策事项。</w:t>
      </w:r>
      <w:r>
        <w:rPr>
          <w:rFonts w:hint="eastAsia" w:ascii="仿宋_GB2312" w:hAnsi="仿宋_GB2312" w:eastAsia="仿宋_GB2312" w:cs="仿宋_GB2312"/>
          <w:sz w:val="32"/>
          <w:szCs w:val="32"/>
          <w:highlight w:val="none"/>
          <w:lang w:eastAsia="zh-CN"/>
        </w:rPr>
        <w:t>重点围绕文化教育、医疗卫生、资源开发、环境保护、社会保障、公用事业等重大民生事项，按照</w:t>
      </w:r>
      <w:r>
        <w:rPr>
          <w:rFonts w:hint="eastAsia" w:ascii="仿宋_GB2312" w:hAnsi="仿宋_GB2312" w:eastAsia="仿宋_GB2312" w:cs="仿宋_GB2312"/>
          <w:sz w:val="32"/>
          <w:szCs w:val="32"/>
          <w:highlight w:val="none"/>
        </w:rPr>
        <w:t>《太仓市重大行政决策程序规定》</w:t>
      </w:r>
      <w:r>
        <w:rPr>
          <w:rFonts w:hint="eastAsia" w:ascii="仿宋_GB2312" w:hAnsi="仿宋_GB2312" w:eastAsia="仿宋_GB2312" w:cs="仿宋_GB2312"/>
          <w:sz w:val="32"/>
          <w:szCs w:val="32"/>
          <w:highlight w:val="none"/>
          <w:lang w:eastAsia="zh-CN"/>
        </w:rPr>
        <w:t>，通过政府门户网站向社会发布决策草案和依据，落实</w:t>
      </w:r>
      <w:r>
        <w:rPr>
          <w:rFonts w:hint="eastAsia" w:ascii="仿宋_GB2312" w:hAnsi="仿宋_GB2312" w:eastAsia="仿宋_GB2312" w:cs="仿宋_GB2312"/>
          <w:sz w:val="32"/>
          <w:szCs w:val="32"/>
          <w:highlight w:val="none"/>
        </w:rPr>
        <w:t>公众参与、专家论证、风险评估、合法性审查、廉洁性审查和集体讨论的程序规定，实现</w:t>
      </w:r>
      <w:r>
        <w:rPr>
          <w:rFonts w:hint="eastAsia" w:ascii="仿宋_GB2312" w:hAnsi="仿宋_GB2312" w:eastAsia="仿宋_GB2312" w:cs="仿宋_GB2312"/>
          <w:sz w:val="32"/>
          <w:szCs w:val="32"/>
          <w:highlight w:val="none"/>
          <w:lang w:eastAsia="zh-CN"/>
        </w:rPr>
        <w:t>重大</w:t>
      </w:r>
      <w:r>
        <w:rPr>
          <w:rFonts w:hint="eastAsia" w:ascii="仿宋_GB2312" w:hAnsi="仿宋_GB2312" w:eastAsia="仿宋_GB2312" w:cs="仿宋_GB2312"/>
          <w:sz w:val="32"/>
          <w:szCs w:val="32"/>
          <w:highlight w:val="none"/>
        </w:rPr>
        <w:t>行政决策</w:t>
      </w:r>
      <w:r>
        <w:rPr>
          <w:rFonts w:hint="eastAsia" w:ascii="仿宋_GB2312" w:hAnsi="仿宋_GB2312" w:eastAsia="仿宋_GB2312" w:cs="仿宋_GB2312"/>
          <w:sz w:val="32"/>
          <w:szCs w:val="32"/>
          <w:highlight w:val="none"/>
          <w:lang w:eastAsia="zh-CN"/>
        </w:rPr>
        <w:t>预</w:t>
      </w:r>
      <w:r>
        <w:rPr>
          <w:rFonts w:hint="eastAsia" w:ascii="仿宋_GB2312" w:hAnsi="仿宋_GB2312" w:eastAsia="仿宋_GB2312" w:cs="仿宋_GB2312"/>
          <w:sz w:val="32"/>
          <w:szCs w:val="32"/>
          <w:highlight w:val="none"/>
        </w:rPr>
        <w:t>公开。</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（三）推进信息公开载体建设</w:t>
      </w:r>
    </w:p>
    <w:p>
      <w:pPr>
        <w:keepNext w:val="0"/>
        <w:keepLines w:val="0"/>
        <w:pageBreakBefore w:val="0"/>
        <w:kinsoku/>
        <w:wordWrap/>
        <w:overflowPunct/>
        <w:topLinePunct w:val="0"/>
        <w:autoSpaceDE/>
        <w:autoSpaceDN/>
        <w:bidi w:val="0"/>
        <w:spacing w:line="58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1.继续发挥传统载体的作用。</w:t>
      </w:r>
      <w:r>
        <w:rPr>
          <w:rFonts w:hint="eastAsia" w:ascii="仿宋_GB2312" w:hAnsi="仿宋_GB2312" w:eastAsia="仿宋_GB2312" w:cs="仿宋_GB2312"/>
          <w:sz w:val="32"/>
          <w:szCs w:val="32"/>
          <w:lang w:val="en-US" w:eastAsia="zh-CN"/>
        </w:rPr>
        <w:t>针对不同社会群体，采取多种传播策略，</w:t>
      </w:r>
      <w:r>
        <w:rPr>
          <w:rFonts w:hint="eastAsia" w:ascii="仿宋_GB2312" w:hAnsi="仿宋_GB2312" w:eastAsia="仿宋_GB2312" w:cs="仿宋_GB2312"/>
          <w:sz w:val="32"/>
          <w:szCs w:val="32"/>
        </w:rPr>
        <w:t>充分发挥《太仓日报》舆论引导作用，积极做好政策解读工作，</w:t>
      </w:r>
      <w:r>
        <w:rPr>
          <w:rFonts w:hint="eastAsia" w:ascii="仿宋_GB2312" w:hAnsi="仿宋_GB2312" w:eastAsia="仿宋_GB2312" w:cs="仿宋_GB2312"/>
          <w:sz w:val="32"/>
          <w:szCs w:val="32"/>
          <w:lang w:eastAsia="zh-CN"/>
        </w:rPr>
        <w:t>在本地新闻版以专题栏目的形式对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1+X</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河长制</w:t>
      </w:r>
      <w:r>
        <w:rPr>
          <w:rFonts w:hint="eastAsia" w:ascii="仿宋_GB2312" w:hAnsi="仿宋_GB2312" w:eastAsia="仿宋_GB2312" w:cs="仿宋_GB2312"/>
          <w:sz w:val="32"/>
          <w:szCs w:val="32"/>
        </w:rPr>
        <w:t>”等重大政策</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连续性解读；在周末增刊开设“政策速递”版面，及时传递</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出台的各类政策</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宣传版面</w:t>
      </w:r>
      <w:r>
        <w:rPr>
          <w:rFonts w:hint="eastAsia" w:ascii="仿宋_GB2312" w:hAnsi="仿宋_GB2312" w:eastAsia="仿宋_GB2312" w:cs="仿宋_GB2312"/>
          <w:sz w:val="32"/>
          <w:szCs w:val="32"/>
          <w:lang w:val="en-US" w:eastAsia="zh-CN"/>
        </w:rPr>
        <w:t>90余</w:t>
      </w:r>
      <w:r>
        <w:rPr>
          <w:rFonts w:hint="eastAsia" w:ascii="仿宋_GB2312" w:hAnsi="仿宋_GB2312" w:eastAsia="仿宋_GB2312" w:cs="仿宋_GB2312"/>
          <w:sz w:val="32"/>
          <w:szCs w:val="32"/>
        </w:rPr>
        <w:t>个。</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2.提升政府信息发布平台的作用。</w:t>
      </w:r>
      <w:r>
        <w:rPr>
          <w:rFonts w:hint="eastAsia" w:ascii="仿宋_GB2312" w:hAnsi="仿宋_GB2312" w:eastAsia="仿宋_GB2312" w:cs="仿宋_GB2312"/>
          <w:sz w:val="32"/>
          <w:szCs w:val="32"/>
          <w:lang w:eastAsia="zh-CN"/>
        </w:rPr>
        <w:t>继续深化太仓市政府网站集约化建设工作，全市</w:t>
      </w:r>
      <w:r>
        <w:rPr>
          <w:rFonts w:hint="eastAsia" w:ascii="仿宋_GB2312" w:hAnsi="仿宋_GB2312" w:eastAsia="仿宋_GB2312" w:cs="仿宋_GB2312"/>
          <w:sz w:val="32"/>
          <w:szCs w:val="32"/>
          <w:lang w:val="en-US" w:eastAsia="zh-CN"/>
        </w:rPr>
        <w:t>42家</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rPr>
        <w:t>政府网站</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信息发布、解读、回应、互动、服务等必要功能</w:t>
      </w:r>
      <w:r>
        <w:rPr>
          <w:rFonts w:hint="eastAsia" w:ascii="仿宋_GB2312" w:hAnsi="仿宋_GB2312" w:eastAsia="仿宋_GB2312" w:cs="仿宋_GB2312"/>
          <w:sz w:val="32"/>
          <w:szCs w:val="32"/>
          <w:lang w:eastAsia="zh-CN"/>
        </w:rPr>
        <w:t>的上</w:t>
      </w:r>
      <w:r>
        <w:rPr>
          <w:rFonts w:hint="eastAsia" w:ascii="仿宋_GB2312" w:hAnsi="仿宋_GB2312" w:eastAsia="仿宋_GB2312" w:cs="仿宋_GB2312"/>
          <w:sz w:val="32"/>
          <w:szCs w:val="32"/>
        </w:rPr>
        <w:t>移，</w:t>
      </w:r>
      <w:r>
        <w:rPr>
          <w:rFonts w:hint="eastAsia" w:ascii="仿宋_GB2312" w:hAnsi="仿宋_GB2312" w:eastAsia="仿宋_GB2312" w:cs="仿宋_GB2312"/>
          <w:sz w:val="32"/>
          <w:szCs w:val="32"/>
          <w:lang w:eastAsia="zh-CN"/>
        </w:rPr>
        <w:t>全面、规范</w:t>
      </w:r>
      <w:r>
        <w:rPr>
          <w:rFonts w:hint="eastAsia" w:ascii="仿宋_GB2312" w:hAnsi="仿宋_GB2312" w:eastAsia="仿宋_GB2312" w:cs="仿宋_GB2312"/>
          <w:sz w:val="32"/>
          <w:szCs w:val="32"/>
        </w:rPr>
        <w:t>关闭</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以下政府网站</w:t>
      </w:r>
      <w:r>
        <w:rPr>
          <w:rFonts w:hint="eastAsia" w:ascii="仿宋_GB2312" w:hAnsi="仿宋_GB2312" w:eastAsia="仿宋_GB2312" w:cs="仿宋_GB2312"/>
          <w:sz w:val="32"/>
          <w:szCs w:val="32"/>
          <w:lang w:eastAsia="zh-CN"/>
        </w:rPr>
        <w:t>；完成门户网站改版升级工作，</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平台、信息和服务的高效整合</w:t>
      </w:r>
      <w:r>
        <w:rPr>
          <w:rFonts w:hint="eastAsia" w:ascii="仿宋_GB2312" w:hAnsi="仿宋_GB2312" w:eastAsia="仿宋_GB2312" w:cs="仿宋_GB2312"/>
          <w:sz w:val="32"/>
          <w:szCs w:val="32"/>
        </w:rPr>
        <w:t>，完善政府网站体系，优化结构布局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网站质量得到全面提升。</w:t>
      </w:r>
    </w:p>
    <w:p>
      <w:pPr>
        <w:keepNext w:val="0"/>
        <w:keepLines w:val="0"/>
        <w:pageBreakBefore w:val="0"/>
        <w:kinsoku/>
        <w:wordWrap/>
        <w:overflowPunct/>
        <w:topLinePunct w:val="0"/>
        <w:autoSpaceDE/>
        <w:autoSpaceDN/>
        <w:bidi w:val="0"/>
        <w:spacing w:line="58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highlight w:val="none"/>
          <w:lang w:val="en-US" w:eastAsia="zh-CN"/>
        </w:rPr>
        <w:t>3.扩大新媒体信息发布的作用。</w:t>
      </w:r>
      <w:r>
        <w:rPr>
          <w:rFonts w:hint="eastAsia" w:ascii="仿宋_GB2312" w:hAnsi="仿宋_GB2312" w:eastAsia="仿宋_GB2312" w:cs="仿宋_GB2312"/>
          <w:sz w:val="32"/>
          <w:szCs w:val="32"/>
          <w:lang w:eastAsia="zh-CN"/>
        </w:rPr>
        <w:t>不断扩大微信、微博等新媒体手段在政务公开工作中的影响力和覆盖面，目前官方微信“太仓发布”累积关注人数28423人，发布微信图文信息775条，阅读累积超</w:t>
      </w:r>
      <w:r>
        <w:rPr>
          <w:rFonts w:hint="eastAsia" w:ascii="仿宋_GB2312" w:hAnsi="仿宋_GB2312" w:eastAsia="仿宋_GB2312" w:cs="仿宋_GB2312"/>
          <w:sz w:val="32"/>
          <w:szCs w:val="32"/>
          <w:lang w:val="en-US" w:eastAsia="zh-CN"/>
        </w:rPr>
        <w:t>120万</w:t>
      </w:r>
      <w:r>
        <w:rPr>
          <w:rFonts w:hint="eastAsia" w:ascii="仿宋_GB2312" w:hAnsi="仿宋_GB2312" w:eastAsia="仿宋_GB2312" w:cs="仿宋_GB2312"/>
          <w:sz w:val="32"/>
          <w:szCs w:val="32"/>
          <w:lang w:eastAsia="zh-CN"/>
        </w:rPr>
        <w:t>人次，新浪官方微博、腾讯官方微博“太仓发布”拥有粉丝</w:t>
      </w:r>
      <w:r>
        <w:rPr>
          <w:rFonts w:hint="eastAsia" w:ascii="仿宋_GB2312" w:hAnsi="仿宋_GB2312" w:eastAsia="仿宋_GB2312" w:cs="仿宋_GB2312"/>
          <w:sz w:val="32"/>
          <w:szCs w:val="32"/>
          <w:lang w:val="en-US" w:eastAsia="zh-CN"/>
        </w:rPr>
        <w:t>664001</w:t>
      </w:r>
      <w:r>
        <w:rPr>
          <w:rFonts w:hint="eastAsia" w:ascii="仿宋_GB2312" w:hAnsi="仿宋_GB2312" w:eastAsia="仿宋_GB2312" w:cs="仿宋_GB2312"/>
          <w:sz w:val="32"/>
          <w:szCs w:val="32"/>
          <w:lang w:eastAsia="zh-CN"/>
        </w:rPr>
        <w:t>人，发布微博</w:t>
      </w:r>
      <w:r>
        <w:rPr>
          <w:rFonts w:hint="eastAsia" w:ascii="仿宋_GB2312" w:hAnsi="仿宋_GB2312" w:eastAsia="仿宋_GB2312" w:cs="仿宋_GB2312"/>
          <w:sz w:val="32"/>
          <w:szCs w:val="32"/>
          <w:lang w:val="en-US" w:eastAsia="zh-CN"/>
        </w:rPr>
        <w:t>4700</w:t>
      </w:r>
      <w:r>
        <w:rPr>
          <w:rFonts w:hint="eastAsia" w:ascii="仿宋_GB2312" w:hAnsi="仿宋_GB2312" w:eastAsia="仿宋_GB2312" w:cs="仿宋_GB2312"/>
          <w:sz w:val="32"/>
          <w:szCs w:val="32"/>
          <w:lang w:eastAsia="zh-CN"/>
        </w:rPr>
        <w:t>条，阅读累计次数超</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lang w:eastAsia="zh-CN"/>
        </w:rPr>
        <w:t>万人次。全年发布2017太仓“两会”、《太仓市城市总体规划（2010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2030）》（2017年修改）、2017太仓金秋经贸月等本地新闻、重大政策、民生资讯、热点解读信息115条，阅读量累计超过40万。搭建全市政务新媒体微平台，发展群成员135个，在政务公开、网络辟谣、突发舆情等方面形成外宣合力，有效提升影响力和传播力。</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4.探索线下服务中心和网上办事大厅的融合作用。</w:t>
      </w:r>
      <w:r>
        <w:rPr>
          <w:rFonts w:hint="eastAsia" w:ascii="仿宋_GB2312" w:hAnsi="仿宋_GB2312" w:eastAsia="仿宋_GB2312" w:cs="仿宋_GB2312"/>
          <w:sz w:val="32"/>
          <w:szCs w:val="32"/>
          <w:lang w:eastAsia="zh-CN"/>
        </w:rPr>
        <w:t>大力推进实体政务服务中心与网上办事大厅结合，全年办理各类审批事项106.5万件，办结率96.8%，日均办件4243件，同比增加增加106.4%。“12345”便民热线，办理市民各类诉求607916件，办结率99.44%，处理市长信箱</w:t>
      </w:r>
      <w:r>
        <w:rPr>
          <w:rFonts w:hint="eastAsia" w:ascii="仿宋_GB2312" w:hAnsi="仿宋_GB2312" w:eastAsia="仿宋_GB2312" w:cs="仿宋_GB2312"/>
          <w:sz w:val="32"/>
          <w:szCs w:val="32"/>
          <w:lang w:val="en-US" w:eastAsia="zh-CN"/>
        </w:rPr>
        <w:t>1541</w:t>
      </w:r>
      <w:r>
        <w:rPr>
          <w:rFonts w:hint="eastAsia" w:ascii="仿宋_GB2312" w:hAnsi="仿宋_GB2312" w:eastAsia="仿宋_GB2312" w:cs="仿宋_GB2312"/>
          <w:sz w:val="32"/>
          <w:szCs w:val="32"/>
          <w:lang w:eastAsia="zh-CN"/>
        </w:rPr>
        <w:t>件，苏州寒山闻钟</w:t>
      </w:r>
      <w:r>
        <w:rPr>
          <w:rFonts w:hint="eastAsia" w:ascii="仿宋_GB2312" w:hAnsi="仿宋_GB2312" w:eastAsia="仿宋_GB2312" w:cs="仿宋_GB2312"/>
          <w:sz w:val="32"/>
          <w:szCs w:val="32"/>
          <w:lang w:val="en-US" w:eastAsia="zh-CN"/>
        </w:rPr>
        <w:t>2042</w:t>
      </w:r>
      <w:r>
        <w:rPr>
          <w:rFonts w:hint="eastAsia" w:ascii="仿宋_GB2312" w:hAnsi="仿宋_GB2312" w:eastAsia="仿宋_GB2312" w:cs="仿宋_GB2312"/>
          <w:sz w:val="32"/>
          <w:szCs w:val="32"/>
          <w:lang w:eastAsia="zh-CN"/>
        </w:rPr>
        <w:t>件。不断加大线上线下“虚实一体”的智慧政务平台建设，发挥“互联网+”政务服务效应，加强政务服务审批平台与部门审批系统对接，进一步完善了“移动审批APP”软件系统，提高部门主要负责人签批效率，有效缩短企业候审时间。</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24" w:firstLineChars="200"/>
        <w:jc w:val="both"/>
        <w:textAlignment w:val="auto"/>
        <w:rPr>
          <w:rFonts w:hint="eastAsia" w:ascii="黑体" w:hAnsi="黑体" w:eastAsia="黑体" w:cs="黑体"/>
          <w:spacing w:val="-4"/>
          <w:kern w:val="0"/>
          <w:sz w:val="32"/>
          <w:szCs w:val="32"/>
          <w:lang w:eastAsia="zh-CN"/>
        </w:rPr>
      </w:pPr>
      <w:r>
        <w:rPr>
          <w:rFonts w:hint="eastAsia" w:ascii="黑体" w:hAnsi="黑体" w:eastAsia="黑体" w:cs="黑体"/>
          <w:spacing w:val="-4"/>
          <w:kern w:val="0"/>
          <w:sz w:val="32"/>
          <w:szCs w:val="32"/>
          <w:lang w:eastAsia="zh-CN"/>
        </w:rPr>
        <w:t>三、依申请公开及复议、诉讼和申诉情况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24"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kern w:val="0"/>
          <w:sz w:val="32"/>
          <w:szCs w:val="32"/>
          <w:lang w:eastAsia="zh-CN"/>
        </w:rPr>
        <w:t>充分发挥互联网和政务服务中心的作用，为申请人提供便捷服务，</w:t>
      </w:r>
      <w:r>
        <w:rPr>
          <w:rFonts w:hint="eastAsia" w:ascii="仿宋_GB2312" w:hAnsi="仿宋_GB2312" w:eastAsia="仿宋_GB2312" w:cs="仿宋_GB2312"/>
          <w:spacing w:val="-4"/>
          <w:kern w:val="0"/>
          <w:sz w:val="32"/>
          <w:szCs w:val="32"/>
          <w:lang w:val="en-US" w:eastAsia="zh-CN"/>
        </w:rPr>
        <w:t>2017年</w:t>
      </w:r>
      <w:r>
        <w:rPr>
          <w:rFonts w:hint="eastAsia" w:ascii="仿宋_GB2312" w:hAnsi="仿宋_GB2312" w:eastAsia="仿宋_GB2312" w:cs="仿宋_GB2312"/>
          <w:spacing w:val="-4"/>
          <w:kern w:val="0"/>
          <w:sz w:val="32"/>
          <w:szCs w:val="32"/>
          <w:lang w:eastAsia="zh-CN"/>
        </w:rPr>
        <w:t>共处理依申请公开</w:t>
      </w:r>
      <w:r>
        <w:rPr>
          <w:rFonts w:hint="eastAsia" w:ascii="仿宋_GB2312" w:hAnsi="仿宋_GB2312" w:eastAsia="仿宋_GB2312" w:cs="仿宋_GB2312"/>
          <w:spacing w:val="-4"/>
          <w:kern w:val="0"/>
          <w:sz w:val="32"/>
          <w:szCs w:val="32"/>
          <w:lang w:val="en-US" w:eastAsia="zh-CN"/>
        </w:rPr>
        <w:t>66件，其中网络申请65件，信函申请1件。截至12月31日，已按时办结66件，连续三年市政府</w:t>
      </w:r>
      <w:r>
        <w:rPr>
          <w:rFonts w:hint="eastAsia" w:ascii="仿宋_GB2312" w:hAnsi="仿宋_GB2312" w:eastAsia="仿宋_GB2312" w:cs="仿宋_GB2312"/>
          <w:spacing w:val="-4"/>
          <w:kern w:val="0"/>
          <w:sz w:val="32"/>
          <w:szCs w:val="32"/>
          <w:lang w:eastAsia="zh-CN"/>
        </w:rPr>
        <w:t>本级无行政复议、诉</w:t>
      </w:r>
      <w:r>
        <w:rPr>
          <w:rFonts w:hint="eastAsia" w:ascii="仿宋_GB2312" w:hAnsi="仿宋_GB2312" w:eastAsia="仿宋_GB2312" w:cs="仿宋_GB2312"/>
          <w:sz w:val="32"/>
          <w:szCs w:val="32"/>
          <w:lang w:eastAsia="zh-CN"/>
        </w:rPr>
        <w:t>讼和申诉情况。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四、政府信息公开收费及减免情况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24"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kern w:val="0"/>
          <w:sz w:val="32"/>
          <w:szCs w:val="32"/>
          <w:lang w:eastAsia="zh-CN"/>
        </w:rPr>
        <w:t>本年度未向申请人收取公开费用。</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五、人大代表建议和政协委员提案办理结果公开情况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2017年，我市通过门户网站主页专栏的形式，对相关提案办理结果进行了公开，地址为：</w:t>
      </w:r>
      <w:r>
        <w:rPr>
          <w:rFonts w:hint="eastAsia" w:ascii="仿宋_GB2312" w:hAnsi="仿宋_GB2312" w:eastAsia="仿宋_GB2312" w:cs="仿宋_GB2312"/>
          <w:color w:val="auto"/>
          <w:sz w:val="32"/>
          <w:szCs w:val="32"/>
          <w:u w:val="none"/>
          <w:lang w:val="en-US" w:eastAsia="zh-CN"/>
        </w:rPr>
        <w:t>http://www.taicang.gov.cn/site_publicinfo/003004/leadAdvice.html和http://www.taicang.gov.cn/site_publicinfo/003005/leadMotion.html。</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ascii="黑体" w:hAnsi="宋体" w:eastAsia="黑体" w:cs="黑体"/>
          <w:b w:val="0"/>
          <w:i w:val="0"/>
          <w:caps w:val="0"/>
          <w:color w:val="000000"/>
          <w:spacing w:val="0"/>
          <w:sz w:val="32"/>
          <w:szCs w:val="32"/>
        </w:rPr>
        <w:t>六、政府信息公开工作存在的主要问题及改进措施</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ascii="仿宋_GB2312" w:hAnsi="宋体" w:eastAsia="仿宋_GB2312" w:cs="仿宋_GB2312"/>
          <w:b w:val="0"/>
          <w:i w:val="0"/>
          <w:caps w:val="0"/>
          <w:color w:val="000000"/>
          <w:spacing w:val="0"/>
          <w:sz w:val="32"/>
          <w:szCs w:val="32"/>
        </w:rPr>
      </w:pPr>
      <w:r>
        <w:rPr>
          <w:rFonts w:ascii="仿宋_GB2312" w:hAnsi="宋体" w:eastAsia="仿宋_GB2312" w:cs="仿宋_GB2312"/>
          <w:b w:val="0"/>
          <w:i w:val="0"/>
          <w:caps w:val="0"/>
          <w:color w:val="000000"/>
          <w:spacing w:val="0"/>
          <w:sz w:val="32"/>
          <w:szCs w:val="32"/>
        </w:rPr>
        <w:t>重点领域信息公开工作仍需加强，与社会公众的需求有一定差距，主动公开政府信息的数量和质量需进一步提高。今后，我市将按照《条例》和国务院、江苏省、苏州市政府相关工作要求，继续深化政务公开工作改革，完善相关制度机制，加强政府信息公开平台和公开载体建设，强化监督指导和业务培训，全面深化政府信息公开各项工作。</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ascii="仿宋_GB2312" w:hAnsi="宋体" w:eastAsia="仿宋_GB2312" w:cs="仿宋_GB2312"/>
          <w:b w:val="0"/>
          <w:i w:val="0"/>
          <w:caps w:val="0"/>
          <w:color w:val="000000"/>
          <w:spacing w:val="0"/>
          <w:sz w:val="32"/>
          <w:szCs w:val="32"/>
        </w:rPr>
      </w:pP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ascii="仿宋_GB2312" w:hAnsi="宋体" w:eastAsia="仿宋_GB2312" w:cs="仿宋_GB2312"/>
          <w:b w:val="0"/>
          <w:i w:val="0"/>
          <w:caps w:val="0"/>
          <w:color w:val="000000"/>
          <w:spacing w:val="0"/>
          <w:sz w:val="32"/>
          <w:szCs w:val="32"/>
        </w:rPr>
      </w:pP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right"/>
        <w:textAlignment w:val="auto"/>
        <w:rPr>
          <w:rFonts w:hint="eastAsia" w:ascii="仿宋_GB2312" w:hAnsi="宋体" w:eastAsia="仿宋_GB2312" w:cs="仿宋_GB2312"/>
          <w:b w:val="0"/>
          <w:i w:val="0"/>
          <w:caps w:val="0"/>
          <w:color w:val="000000"/>
          <w:spacing w:val="0"/>
          <w:sz w:val="32"/>
          <w:szCs w:val="32"/>
          <w:lang w:eastAsia="zh-CN"/>
        </w:rPr>
      </w:pPr>
      <w:r>
        <w:rPr>
          <w:rFonts w:hint="eastAsia" w:ascii="仿宋_GB2312" w:hAnsi="宋体" w:eastAsia="仿宋_GB2312" w:cs="仿宋_GB2312"/>
          <w:b w:val="0"/>
          <w:i w:val="0"/>
          <w:caps w:val="0"/>
          <w:color w:val="000000"/>
          <w:spacing w:val="0"/>
          <w:sz w:val="32"/>
          <w:szCs w:val="32"/>
          <w:lang w:eastAsia="zh-CN"/>
        </w:rPr>
        <w:t>太仓市人民政府办公室</w:t>
      </w:r>
    </w:p>
    <w:p>
      <w:pPr>
        <w:keepNext w:val="0"/>
        <w:keepLines w:val="0"/>
        <w:pageBreakBefore w:val="0"/>
        <w:kinsoku/>
        <w:wordWrap w:val="0"/>
        <w:overflowPunct/>
        <w:topLinePunct w:val="0"/>
        <w:autoSpaceDE/>
        <w:autoSpaceDN/>
        <w:bidi w:val="0"/>
        <w:spacing w:beforeAutospacing="0" w:afterAutospacing="0" w:line="580" w:lineRule="exact"/>
        <w:ind w:left="0" w:leftChars="0" w:right="0" w:rightChars="0" w:firstLine="640" w:firstLineChars="200"/>
        <w:jc w:val="right"/>
        <w:textAlignment w:val="auto"/>
        <w:rPr>
          <w:rFonts w:hint="eastAsia" w:ascii="仿宋_GB2312" w:hAnsi="宋体" w:eastAsia="仿宋_GB2312" w:cs="仿宋_GB2312"/>
          <w:b w:val="0"/>
          <w:i w:val="0"/>
          <w:caps w:val="0"/>
          <w:color w:val="000000"/>
          <w:spacing w:val="0"/>
          <w:sz w:val="32"/>
          <w:szCs w:val="32"/>
          <w:lang w:val="en-US" w:eastAsia="zh-CN"/>
        </w:rPr>
      </w:pPr>
      <w:r>
        <w:rPr>
          <w:rFonts w:hint="eastAsia" w:ascii="仿宋_GB2312" w:hAnsi="宋体" w:eastAsia="仿宋_GB2312" w:cs="仿宋_GB2312"/>
          <w:b w:val="0"/>
          <w:i w:val="0"/>
          <w:caps w:val="0"/>
          <w:color w:val="000000"/>
          <w:spacing w:val="0"/>
          <w:sz w:val="32"/>
          <w:szCs w:val="32"/>
          <w:lang w:val="en-US" w:eastAsia="zh-CN"/>
        </w:rPr>
        <w:t xml:space="preserve">2018年2月22日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鼎简大宋">
    <w:altName w:val="宋体"/>
    <w:panose1 w:val="02010609010101010101"/>
    <w:charset w:val="86"/>
    <w:family w:val="modern"/>
    <w:pitch w:val="default"/>
    <w:sig w:usb0="00000000" w:usb1="00000000" w:usb2="00000010" w:usb3="00000000" w:csb0="00040000" w:csb1="00000000"/>
  </w:font>
  <w:font w:name="汉鼎简黑体">
    <w:altName w:val="宋体"/>
    <w:panose1 w:val="02010609000101010101"/>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鼎简仿宋">
    <w:altName w:val="仿宋"/>
    <w:panose1 w:val="02010609010101010101"/>
    <w:charset w:val="86"/>
    <w:family w:val="modern"/>
    <w:pitch w:val="default"/>
    <w:sig w:usb0="00000000" w:usb1="00000000" w:usb2="00000010" w:usb3="00000000" w:csb0="00040000" w:csb1="00000000"/>
  </w:font>
  <w:font w:name="汉鼎简楷体">
    <w:altName w:val="宋体"/>
    <w:panose1 w:val="00000000000000000000"/>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4136A"/>
    <w:rsid w:val="07B5761C"/>
    <w:rsid w:val="44C77562"/>
    <w:rsid w:val="6C0E278A"/>
    <w:rsid w:val="78F41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2018-02-23T02:25:00Z</dcterms:created>
  <dc:creator>吃肉的小熊猫</dc:creator>
  <cp:lastModifiedBy>吃肉的小熊猫</cp:lastModifiedBy>
  <cp:lastPrinted>2018-02-24T01:45:00Z</cp:lastPrinted>
  <dcterms:modified xsi:type="dcterms:W3CDTF">2018-02-26T00:47:05Z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