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44"/>
          <w:szCs w:val="44"/>
        </w:rPr>
      </w:pPr>
      <w:r>
        <w:rPr>
          <w:rFonts w:hint="eastAsia"/>
          <w:b/>
          <w:sz w:val="44"/>
          <w:szCs w:val="44"/>
        </w:rPr>
        <w:t>太仓市人民政府</w:t>
      </w:r>
    </w:p>
    <w:p>
      <w:pPr>
        <w:spacing w:line="560" w:lineRule="exact"/>
        <w:rPr>
          <w:rFonts w:eastAsia="黑体"/>
          <w:sz w:val="44"/>
          <w:u w:val="thick"/>
        </w:rPr>
      </w:pPr>
      <w:r>
        <w:rPr>
          <w:rFonts w:eastAsia="黑体"/>
          <w:sz w:val="44"/>
          <w:u w:val="thick"/>
        </w:rPr>
        <w:t xml:space="preserve">                                      </w:t>
      </w:r>
    </w:p>
    <w:p>
      <w:pPr>
        <w:spacing w:line="560" w:lineRule="exact"/>
        <w:jc w:val="center"/>
        <w:rPr>
          <w:rFonts w:ascii="宋体"/>
          <w:b/>
          <w:bCs/>
          <w:sz w:val="36"/>
          <w:szCs w:val="36"/>
        </w:rPr>
      </w:pPr>
    </w:p>
    <w:p>
      <w:pPr>
        <w:spacing w:line="560" w:lineRule="exact"/>
        <w:jc w:val="center"/>
        <w:rPr>
          <w:rFonts w:ascii="宋体"/>
          <w:b/>
          <w:bCs/>
          <w:sz w:val="52"/>
          <w:szCs w:val="52"/>
        </w:rPr>
      </w:pPr>
      <w:r>
        <w:rPr>
          <w:rFonts w:hint="eastAsia" w:ascii="宋体" w:hAnsi="宋体"/>
          <w:b/>
          <w:bCs/>
          <w:sz w:val="52"/>
          <w:szCs w:val="52"/>
        </w:rPr>
        <w:t>行政复议决定书</w:t>
      </w:r>
    </w:p>
    <w:p>
      <w:pPr>
        <w:spacing w:line="580" w:lineRule="exact"/>
        <w:jc w:val="right"/>
        <w:rPr>
          <w:rFonts w:ascii="仿宋_GB2312" w:hAnsi="宋体" w:eastAsia="仿宋_GB2312"/>
          <w:bCs/>
          <w:sz w:val="32"/>
          <w:szCs w:val="32"/>
        </w:rPr>
      </w:pPr>
    </w:p>
    <w:p>
      <w:pPr>
        <w:topLinePunct/>
        <w:adjustRightInd w:val="0"/>
        <w:spacing w:line="580" w:lineRule="exact"/>
        <w:ind w:firstLine="4800" w:firstLineChars="1500"/>
        <w:rPr>
          <w:rFonts w:ascii="仿宋" w:hAnsi="仿宋" w:eastAsia="仿宋"/>
          <w:bCs/>
          <w:kern w:val="0"/>
          <w:sz w:val="32"/>
          <w:szCs w:val="32"/>
        </w:rPr>
      </w:pPr>
      <w:r>
        <w:rPr>
          <w:rFonts w:hint="eastAsia" w:ascii="仿宋" w:hAnsi="仿宋" w:eastAsia="仿宋"/>
          <w:bCs/>
          <w:kern w:val="0"/>
          <w:sz w:val="32"/>
          <w:szCs w:val="32"/>
        </w:rPr>
        <w:t>〔</w:t>
      </w:r>
      <w:r>
        <w:rPr>
          <w:rFonts w:ascii="仿宋" w:hAnsi="仿宋" w:eastAsia="仿宋"/>
          <w:bCs/>
          <w:kern w:val="0"/>
          <w:sz w:val="32"/>
          <w:szCs w:val="32"/>
        </w:rPr>
        <w:t>2019</w:t>
      </w:r>
      <w:r>
        <w:rPr>
          <w:rFonts w:hint="eastAsia" w:ascii="仿宋" w:hAnsi="仿宋" w:eastAsia="仿宋"/>
          <w:bCs/>
          <w:kern w:val="0"/>
          <w:sz w:val="32"/>
          <w:szCs w:val="32"/>
        </w:rPr>
        <w:t>〕太府行复第</w:t>
      </w:r>
      <w:r>
        <w:rPr>
          <w:rFonts w:ascii="仿宋" w:hAnsi="仿宋" w:eastAsia="仿宋"/>
          <w:bCs/>
          <w:kern w:val="0"/>
          <w:sz w:val="32"/>
          <w:szCs w:val="32"/>
        </w:rPr>
        <w:t>14</w:t>
      </w:r>
      <w:r>
        <w:rPr>
          <w:rFonts w:hint="eastAsia" w:ascii="仿宋" w:hAnsi="仿宋" w:eastAsia="仿宋"/>
          <w:bCs/>
          <w:kern w:val="0"/>
          <w:sz w:val="32"/>
          <w:szCs w:val="32"/>
        </w:rPr>
        <w:t>号</w:t>
      </w:r>
    </w:p>
    <w:p>
      <w:pPr>
        <w:topLinePunct/>
        <w:adjustRightInd w:val="0"/>
        <w:spacing w:line="580" w:lineRule="exact"/>
        <w:ind w:firstLine="4800" w:firstLineChars="1500"/>
        <w:rPr>
          <w:rFonts w:ascii="仿宋" w:hAnsi="仿宋" w:eastAsia="仿宋"/>
          <w:bCs/>
          <w:kern w:val="0"/>
          <w:sz w:val="32"/>
          <w:szCs w:val="32"/>
        </w:rPr>
      </w:pP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申请人：周</w:t>
      </w:r>
      <w:r>
        <w:rPr>
          <w:rFonts w:hint="eastAsia" w:ascii="仿宋" w:hAnsi="仿宋" w:eastAsia="仿宋"/>
          <w:bCs/>
          <w:kern w:val="32"/>
          <w:sz w:val="32"/>
          <w:szCs w:val="32"/>
          <w:lang w:eastAsia="zh-CN"/>
        </w:rPr>
        <w:t>某</w:t>
      </w:r>
      <w:r>
        <w:rPr>
          <w:rFonts w:hint="eastAsia" w:ascii="仿宋" w:hAnsi="仿宋" w:eastAsia="仿宋"/>
          <w:bCs/>
          <w:kern w:val="32"/>
          <w:sz w:val="32"/>
          <w:szCs w:val="32"/>
        </w:rPr>
        <w:t>。</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被申请人：太仓市自然资源和规划局。</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w:t>
      </w:r>
      <w:r>
        <w:rPr>
          <w:rFonts w:ascii="仿宋" w:hAnsi="仿宋" w:eastAsia="仿宋"/>
          <w:bCs/>
          <w:kern w:val="32"/>
          <w:sz w:val="32"/>
          <w:szCs w:val="32"/>
        </w:rPr>
        <w:t>2019</w:t>
      </w:r>
      <w:r>
        <w:rPr>
          <w:rFonts w:hint="eastAsia" w:ascii="仿宋" w:hAnsi="仿宋" w:eastAsia="仿宋"/>
          <w:bCs/>
          <w:kern w:val="32"/>
          <w:sz w:val="32"/>
          <w:szCs w:val="32"/>
        </w:rPr>
        <w:t>年</w:t>
      </w:r>
      <w:r>
        <w:rPr>
          <w:rFonts w:ascii="仿宋" w:hAnsi="仿宋" w:eastAsia="仿宋"/>
          <w:bCs/>
          <w:kern w:val="32"/>
          <w:sz w:val="32"/>
          <w:szCs w:val="32"/>
        </w:rPr>
        <w:t>2</w:t>
      </w:r>
      <w:r>
        <w:rPr>
          <w:rFonts w:hint="eastAsia" w:ascii="仿宋" w:hAnsi="仿宋" w:eastAsia="仿宋"/>
          <w:bCs/>
          <w:kern w:val="32"/>
          <w:sz w:val="32"/>
          <w:szCs w:val="32"/>
        </w:rPr>
        <w:t>月</w:t>
      </w:r>
      <w:r>
        <w:rPr>
          <w:rFonts w:ascii="仿宋" w:hAnsi="仿宋" w:eastAsia="仿宋"/>
          <w:bCs/>
          <w:kern w:val="32"/>
          <w:sz w:val="32"/>
          <w:szCs w:val="32"/>
        </w:rPr>
        <w:t>19</w:t>
      </w:r>
      <w:r>
        <w:rPr>
          <w:rFonts w:hint="eastAsia" w:ascii="仿宋" w:hAnsi="仿宋" w:eastAsia="仿宋"/>
          <w:bCs/>
          <w:kern w:val="32"/>
          <w:sz w:val="32"/>
          <w:szCs w:val="32"/>
        </w:rPr>
        <w:t>日向本机关申请行政复议，</w:t>
      </w:r>
      <w:r>
        <w:rPr>
          <w:rFonts w:ascii="仿宋" w:hAnsi="仿宋" w:eastAsia="仿宋"/>
          <w:bCs/>
          <w:kern w:val="32"/>
          <w:sz w:val="32"/>
          <w:szCs w:val="32"/>
        </w:rPr>
        <w:t>2</w:t>
      </w:r>
      <w:r>
        <w:rPr>
          <w:rFonts w:hint="eastAsia" w:ascii="仿宋" w:hAnsi="仿宋" w:eastAsia="仿宋"/>
          <w:bCs/>
          <w:kern w:val="32"/>
          <w:sz w:val="32"/>
          <w:szCs w:val="32"/>
        </w:rPr>
        <w:t>月</w:t>
      </w:r>
      <w:r>
        <w:rPr>
          <w:rFonts w:ascii="仿宋" w:hAnsi="仿宋" w:eastAsia="仿宋"/>
          <w:bCs/>
          <w:kern w:val="32"/>
          <w:sz w:val="32"/>
          <w:szCs w:val="32"/>
        </w:rPr>
        <w:t>27</w:t>
      </w:r>
      <w:r>
        <w:rPr>
          <w:rFonts w:hint="eastAsia" w:ascii="仿宋" w:hAnsi="仿宋" w:eastAsia="仿宋"/>
          <w:bCs/>
          <w:kern w:val="32"/>
          <w:sz w:val="32"/>
          <w:szCs w:val="32"/>
        </w:rPr>
        <w:t>日提交补正材料，本机关依法予以受理。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adjustRightInd w:val="0"/>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申请人请求：对太仓市住房和城乡建设局认定其在雅鹿</w:t>
      </w:r>
      <w:r>
        <w:rPr>
          <w:rFonts w:hint="eastAsia" w:ascii="仿宋" w:hAnsi="仿宋" w:eastAsia="仿宋"/>
          <w:bCs/>
          <w:kern w:val="32"/>
          <w:sz w:val="32"/>
          <w:szCs w:val="32"/>
          <w:lang w:val="en-US" w:eastAsia="zh-CN"/>
        </w:rPr>
        <w:t>XX幢XX室</w:t>
      </w:r>
      <w:r>
        <w:rPr>
          <w:rFonts w:hint="eastAsia" w:ascii="仿宋" w:hAnsi="仿宋" w:eastAsia="仿宋"/>
          <w:bCs/>
          <w:kern w:val="32"/>
          <w:sz w:val="32"/>
          <w:szCs w:val="32"/>
        </w:rPr>
        <w:t>所搭建的“建筑物”属违法建筑的行为做撤销处理。</w:t>
      </w:r>
    </w:p>
    <w:p>
      <w:pPr>
        <w:adjustRightInd w:val="0"/>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申请人称：申请人于2018年5月份开始对雅鹿臻园联排别墅</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室进行装修，由于邻居们现浇的被拆了，我家没有进行现浇，但是在2018年5月份雅鹿的业主集体去市信访局反映别墅装修露台的问题，当时到场的有太仓市城管局，住建局的领导，还有开发商代表，当时领导们明确说明别墅外阳合不可以现浇，但可以搭建铝合金型材的阳光房，来防止漏水，按照这种要求，我家在2018年5月份开始到11月份期间搭建了南北阳台的铝合金型材而且和邻居说好的一起搭建完成。期间城管和网格巡查员每周到小区来检查，看着我们搭好的。可是到2019年1月24日，太仓市高新区城管中队通知我停止搭建，我告知已经搭好，钱已经都付完。当时城管是打我电话的，我问是什么时候规定的? 他说现在是城管把我们的这样搭建的送到住建局，由住建局审批，最终再通知我们。2019年2月14日城管给我送一份住建局认定的违法搭建的认定书和城管局责令3日内自行拆除违建的通知书，又在2月21日城管送过来一份实施行政强拆措施的决定书。作为政府部门前后说法不一。根据中华人民共和国城乡规划法的规定，没有明确规定不可以搭建自家阳台上阳光房。</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申请人提供的证据材料有：</w:t>
      </w:r>
    </w:p>
    <w:p>
      <w:pPr>
        <w:adjustRightInd w:val="0"/>
        <w:spacing w:line="580" w:lineRule="exact"/>
        <w:ind w:firstLine="640" w:firstLineChars="200"/>
        <w:rPr>
          <w:rFonts w:ascii="仿宋" w:hAnsi="仿宋" w:eastAsia="仿宋" w:cs="Arial"/>
          <w:kern w:val="32"/>
          <w:sz w:val="32"/>
          <w:szCs w:val="32"/>
        </w:rPr>
      </w:pPr>
      <w:r>
        <w:rPr>
          <w:rFonts w:ascii="仿宋" w:hAnsi="仿宋" w:eastAsia="仿宋" w:cs="Arial"/>
          <w:kern w:val="32"/>
          <w:sz w:val="32"/>
          <w:szCs w:val="32"/>
        </w:rPr>
        <w:t>1</w:t>
      </w:r>
      <w:r>
        <w:rPr>
          <w:rFonts w:hint="eastAsia" w:ascii="仿宋" w:hAnsi="仿宋" w:eastAsia="仿宋" w:cs="Arial"/>
          <w:kern w:val="32"/>
          <w:sz w:val="32"/>
          <w:szCs w:val="32"/>
        </w:rPr>
        <w:t>、在建建设规划认定书；</w:t>
      </w:r>
    </w:p>
    <w:p>
      <w:pPr>
        <w:adjustRightInd w:val="0"/>
        <w:spacing w:line="580" w:lineRule="exact"/>
        <w:ind w:firstLine="640" w:firstLineChars="200"/>
        <w:rPr>
          <w:rFonts w:ascii="仿宋" w:hAnsi="仿宋" w:eastAsia="仿宋" w:cs="仿宋"/>
          <w:kern w:val="32"/>
          <w:sz w:val="32"/>
          <w:szCs w:val="32"/>
        </w:rPr>
      </w:pPr>
      <w:r>
        <w:rPr>
          <w:rFonts w:ascii="仿宋" w:hAnsi="仿宋" w:eastAsia="仿宋" w:cs="仿宋"/>
          <w:kern w:val="32"/>
          <w:sz w:val="32"/>
          <w:szCs w:val="32"/>
        </w:rPr>
        <w:t>2</w:t>
      </w:r>
      <w:r>
        <w:rPr>
          <w:rFonts w:hint="eastAsia" w:ascii="仿宋" w:hAnsi="仿宋" w:eastAsia="仿宋" w:cs="仿宋"/>
          <w:kern w:val="32"/>
          <w:sz w:val="32"/>
          <w:szCs w:val="32"/>
        </w:rPr>
        <w:t>、责令改正通知书。</w:t>
      </w:r>
    </w:p>
    <w:p>
      <w:pPr>
        <w:pStyle w:val="10"/>
        <w:autoSpaceDE/>
        <w:autoSpaceDN/>
        <w:spacing w:line="580" w:lineRule="exact"/>
        <w:ind w:firstLine="656" w:firstLineChars="205"/>
        <w:jc w:val="both"/>
        <w:rPr>
          <w:rFonts w:ascii="仿宋" w:hAnsi="仿宋_GB2312" w:eastAsia="仿宋" w:cs="仿宋_GB2312"/>
          <w:kern w:val="32"/>
          <w:sz w:val="32"/>
          <w:szCs w:val="32"/>
        </w:rPr>
      </w:pPr>
      <w:r>
        <w:rPr>
          <w:rFonts w:hint="eastAsia" w:ascii="仿宋" w:hAnsi="仿宋" w:eastAsia="仿宋"/>
          <w:bCs/>
          <w:kern w:val="32"/>
          <w:sz w:val="32"/>
          <w:szCs w:val="32"/>
        </w:rPr>
        <w:t>被申请人答复称：一、被申请人作出的认定书是合理合法的，不存在应予撤销的情形。</w:t>
      </w:r>
      <w:r>
        <w:rPr>
          <w:rFonts w:hint="eastAsia" w:ascii="仿宋" w:hAnsi="仿宋" w:eastAsia="仿宋" w:cs="Arial"/>
          <w:kern w:val="32"/>
          <w:sz w:val="32"/>
          <w:szCs w:val="32"/>
        </w:rPr>
        <w:t>根据《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二、案涉认定书不具有强制执行力，对申请人的权利义务不产生实际影响。根据申请人在申请书中的表述“</w:t>
      </w:r>
      <w:r>
        <w:rPr>
          <w:rFonts w:ascii="仿宋" w:hAnsi="仿宋" w:eastAsia="仿宋" w:cs="Arial"/>
          <w:kern w:val="32"/>
          <w:sz w:val="32"/>
          <w:szCs w:val="32"/>
        </w:rPr>
        <w:t>2019</w:t>
      </w:r>
      <w:r>
        <w:rPr>
          <w:rFonts w:hint="eastAsia" w:ascii="仿宋" w:hAnsi="仿宋" w:eastAsia="仿宋" w:cs="Arial"/>
          <w:kern w:val="32"/>
          <w:sz w:val="32"/>
          <w:szCs w:val="32"/>
        </w:rPr>
        <w:t>年</w:t>
      </w:r>
      <w:r>
        <w:rPr>
          <w:rFonts w:ascii="仿宋" w:hAnsi="仿宋" w:eastAsia="仿宋" w:cs="Arial"/>
          <w:kern w:val="32"/>
          <w:sz w:val="32"/>
          <w:szCs w:val="32"/>
        </w:rPr>
        <w:t>2</w:t>
      </w:r>
      <w:r>
        <w:rPr>
          <w:rFonts w:hint="eastAsia" w:ascii="仿宋" w:hAnsi="仿宋" w:eastAsia="仿宋" w:cs="Arial"/>
          <w:kern w:val="32"/>
          <w:sz w:val="32"/>
          <w:szCs w:val="32"/>
        </w:rPr>
        <w:t>月</w:t>
      </w:r>
      <w:r>
        <w:rPr>
          <w:rFonts w:ascii="仿宋" w:hAnsi="仿宋" w:eastAsia="仿宋" w:cs="Arial"/>
          <w:kern w:val="32"/>
          <w:sz w:val="32"/>
          <w:szCs w:val="32"/>
        </w:rPr>
        <w:t>14</w:t>
      </w:r>
      <w:r>
        <w:rPr>
          <w:rFonts w:hint="eastAsia" w:ascii="仿宋" w:hAnsi="仿宋" w:eastAsia="仿宋" w:cs="Arial"/>
          <w:kern w:val="32"/>
          <w:sz w:val="32"/>
          <w:szCs w:val="32"/>
        </w:rPr>
        <w:t>日上午城管给我送一份住建局认定的违法搭建的认定书和城管责令</w:t>
      </w:r>
      <w:r>
        <w:rPr>
          <w:rFonts w:ascii="仿宋" w:hAnsi="仿宋" w:eastAsia="仿宋" w:cs="Arial"/>
          <w:kern w:val="32"/>
          <w:sz w:val="32"/>
          <w:szCs w:val="32"/>
        </w:rPr>
        <w:t>3</w:t>
      </w:r>
      <w:r>
        <w:rPr>
          <w:rFonts w:hint="eastAsia" w:ascii="仿宋" w:hAnsi="仿宋" w:eastAsia="仿宋" w:cs="Arial"/>
          <w:kern w:val="32"/>
          <w:sz w:val="32"/>
          <w:szCs w:val="32"/>
        </w:rPr>
        <w:t>日内自行拆除违建的通知书”可知，对申请人的权利义务产生实际影响的并非案涉《认定书》，案涉《认定书》仅是对申请人搭建建筑物是否至被申请人处办理规划手续的说明，不具有强制执行力，对申请人的权利义务并不产生实际影响。申请人的行政复议申请于法无据，请求复议机关依法驳回申请人的行政复议申请。</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被申请人提供的证据有：</w:t>
      </w:r>
    </w:p>
    <w:p>
      <w:pPr>
        <w:pStyle w:val="10"/>
        <w:autoSpaceDE/>
        <w:autoSpaceDN/>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1</w:t>
      </w:r>
      <w:r>
        <w:rPr>
          <w:rFonts w:hint="eastAsia" w:ascii="仿宋" w:hAnsi="仿宋" w:eastAsia="仿宋" w:cs="Arial"/>
          <w:kern w:val="32"/>
          <w:sz w:val="32"/>
          <w:szCs w:val="32"/>
        </w:rPr>
        <w:t>、现场检查笔录及照片；</w:t>
      </w:r>
    </w:p>
    <w:p>
      <w:pPr>
        <w:pStyle w:val="10"/>
        <w:autoSpaceDE/>
        <w:autoSpaceDN/>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2</w:t>
      </w:r>
      <w:r>
        <w:rPr>
          <w:rFonts w:hint="eastAsia" w:ascii="仿宋" w:hAnsi="仿宋" w:eastAsia="仿宋" w:cs="Arial"/>
          <w:kern w:val="32"/>
          <w:sz w:val="32"/>
          <w:szCs w:val="32"/>
        </w:rPr>
        <w:t>、停工</w:t>
      </w:r>
      <w:r>
        <w:rPr>
          <w:rFonts w:ascii="仿宋" w:hAnsi="仿宋" w:eastAsia="仿宋" w:cs="Arial"/>
          <w:kern w:val="32"/>
          <w:sz w:val="32"/>
          <w:szCs w:val="32"/>
        </w:rPr>
        <w:t>(</w:t>
      </w:r>
      <w:r>
        <w:rPr>
          <w:rFonts w:hint="eastAsia" w:ascii="仿宋" w:hAnsi="仿宋" w:eastAsia="仿宋" w:cs="Arial"/>
          <w:kern w:val="32"/>
          <w:sz w:val="32"/>
          <w:szCs w:val="32"/>
        </w:rPr>
        <w:t>核查</w:t>
      </w:r>
      <w:r>
        <w:rPr>
          <w:rFonts w:ascii="仿宋" w:hAnsi="仿宋" w:eastAsia="仿宋" w:cs="Arial"/>
          <w:kern w:val="32"/>
          <w:sz w:val="32"/>
          <w:szCs w:val="32"/>
        </w:rPr>
        <w:t>)</w:t>
      </w:r>
      <w:r>
        <w:rPr>
          <w:rFonts w:hint="eastAsia" w:ascii="仿宋" w:hAnsi="仿宋" w:eastAsia="仿宋" w:cs="Arial"/>
          <w:kern w:val="32"/>
          <w:sz w:val="32"/>
          <w:szCs w:val="32"/>
        </w:rPr>
        <w:t>通知书及送达回证；</w:t>
      </w:r>
    </w:p>
    <w:p>
      <w:pPr>
        <w:pStyle w:val="10"/>
        <w:autoSpaceDE/>
        <w:autoSpaceDN/>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3</w:t>
      </w:r>
      <w:r>
        <w:rPr>
          <w:rFonts w:hint="eastAsia" w:ascii="仿宋" w:hAnsi="仿宋" w:eastAsia="仿宋" w:cs="Arial"/>
          <w:kern w:val="32"/>
          <w:sz w:val="32"/>
          <w:szCs w:val="32"/>
        </w:rPr>
        <w:t>、房屋权属登记信息查询结果证明、房屋分户平面图；</w:t>
      </w:r>
    </w:p>
    <w:p>
      <w:pPr>
        <w:pStyle w:val="10"/>
        <w:autoSpaceDE/>
        <w:autoSpaceDN/>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4</w:t>
      </w:r>
      <w:r>
        <w:rPr>
          <w:rFonts w:hint="eastAsia" w:ascii="仿宋" w:hAnsi="仿宋" w:eastAsia="仿宋" w:cs="Arial"/>
          <w:kern w:val="32"/>
          <w:sz w:val="32"/>
          <w:szCs w:val="32"/>
        </w:rPr>
        <w:t>、在建建设规划认定书。</w:t>
      </w:r>
    </w:p>
    <w:p>
      <w:pPr>
        <w:adjustRightInd w:val="0"/>
        <w:spacing w:line="580" w:lineRule="exact"/>
        <w:ind w:firstLine="640" w:firstLineChars="200"/>
        <w:rPr>
          <w:rFonts w:ascii="仿宋" w:eastAsia="仿宋"/>
          <w:kern w:val="32"/>
          <w:sz w:val="32"/>
        </w:rPr>
      </w:pPr>
      <w:r>
        <w:rPr>
          <w:rFonts w:hint="eastAsia" w:ascii="仿宋" w:hAnsi="仿宋" w:eastAsia="仿宋"/>
          <w:bCs/>
          <w:kern w:val="32"/>
          <w:sz w:val="32"/>
          <w:szCs w:val="32"/>
        </w:rPr>
        <w:t>经审理查明：申请人为雅鹿臻园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室所有权人。</w:t>
      </w:r>
      <w:r>
        <w:rPr>
          <w:rFonts w:ascii="仿宋" w:hAnsi="仿宋" w:eastAsia="仿宋"/>
          <w:bCs/>
          <w:kern w:val="32"/>
          <w:sz w:val="32"/>
          <w:szCs w:val="32"/>
        </w:rPr>
        <w:t>2019</w:t>
      </w:r>
      <w:r>
        <w:rPr>
          <w:rFonts w:hint="eastAsia" w:ascii="仿宋" w:hAnsi="仿宋" w:eastAsia="仿宋"/>
          <w:bCs/>
          <w:kern w:val="32"/>
          <w:sz w:val="32"/>
          <w:szCs w:val="32"/>
        </w:rPr>
        <w:t>年</w:t>
      </w:r>
      <w:r>
        <w:rPr>
          <w:rFonts w:ascii="仿宋" w:hAnsi="仿宋" w:eastAsia="仿宋"/>
          <w:bCs/>
          <w:kern w:val="32"/>
          <w:sz w:val="32"/>
          <w:szCs w:val="32"/>
        </w:rPr>
        <w:t>1</w:t>
      </w:r>
      <w:r>
        <w:rPr>
          <w:rFonts w:hint="eastAsia" w:ascii="仿宋" w:hAnsi="仿宋" w:eastAsia="仿宋"/>
          <w:bCs/>
          <w:kern w:val="32"/>
          <w:sz w:val="32"/>
          <w:szCs w:val="32"/>
        </w:rPr>
        <w:t>月</w:t>
      </w:r>
      <w:r>
        <w:rPr>
          <w:rFonts w:ascii="仿宋" w:hAnsi="仿宋" w:eastAsia="仿宋"/>
          <w:bCs/>
          <w:kern w:val="32"/>
          <w:sz w:val="32"/>
          <w:szCs w:val="32"/>
        </w:rPr>
        <w:t>24</w:t>
      </w:r>
      <w:r>
        <w:rPr>
          <w:rFonts w:hint="eastAsia" w:ascii="仿宋" w:hAnsi="仿宋" w:eastAsia="仿宋"/>
          <w:bCs/>
          <w:kern w:val="32"/>
          <w:sz w:val="32"/>
          <w:szCs w:val="32"/>
        </w:rPr>
        <w:t>日，太仓市城市管理行政执法局执法人员在检查中发现，太仓市雅鹿臻园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室二楼和三楼东南侧平台上，存在用铝合金、玻璃等材料进行搭建的情况，面积合计</w:t>
      </w:r>
      <w:r>
        <w:rPr>
          <w:rFonts w:ascii="仿宋" w:hAnsi="仿宋" w:eastAsia="仿宋"/>
          <w:bCs/>
          <w:kern w:val="32"/>
          <w:sz w:val="32"/>
          <w:szCs w:val="32"/>
        </w:rPr>
        <w:t>20.4</w:t>
      </w:r>
      <w:r>
        <w:rPr>
          <w:rFonts w:hint="eastAsia" w:ascii="仿宋" w:hAnsi="仿宋" w:eastAsia="仿宋"/>
          <w:bCs/>
          <w:kern w:val="32"/>
          <w:sz w:val="32"/>
          <w:szCs w:val="32"/>
        </w:rPr>
        <w:t>平方米。后太仓市城市管理行政执法局将相关情况通报太仓市住房和城乡建设局。</w:t>
      </w:r>
      <w:r>
        <w:rPr>
          <w:rFonts w:ascii="仿宋" w:hAnsi="仿宋" w:eastAsia="仿宋"/>
          <w:bCs/>
          <w:kern w:val="32"/>
          <w:sz w:val="32"/>
          <w:szCs w:val="32"/>
        </w:rPr>
        <w:t>1</w:t>
      </w:r>
      <w:r>
        <w:rPr>
          <w:rFonts w:hint="eastAsia" w:ascii="仿宋" w:hAnsi="仿宋" w:eastAsia="仿宋"/>
          <w:bCs/>
          <w:kern w:val="32"/>
          <w:sz w:val="32"/>
          <w:szCs w:val="32"/>
        </w:rPr>
        <w:t>月</w:t>
      </w:r>
      <w:r>
        <w:rPr>
          <w:rFonts w:ascii="仿宋" w:hAnsi="仿宋" w:eastAsia="仿宋"/>
          <w:bCs/>
          <w:kern w:val="32"/>
          <w:sz w:val="32"/>
          <w:szCs w:val="32"/>
        </w:rPr>
        <w:t>31</w:t>
      </w:r>
      <w:r>
        <w:rPr>
          <w:rFonts w:hint="eastAsia" w:ascii="仿宋" w:hAnsi="仿宋" w:eastAsia="仿宋"/>
          <w:bCs/>
          <w:kern w:val="32"/>
          <w:sz w:val="32"/>
          <w:szCs w:val="32"/>
        </w:rPr>
        <w:t>日，太仓市住房和城乡建设局作出《在建建设规划认定书》（文书编号：</w:t>
      </w:r>
      <w:r>
        <w:rPr>
          <w:rFonts w:ascii="仿宋" w:hAnsi="仿宋" w:eastAsia="仿宋"/>
          <w:bCs/>
          <w:kern w:val="32"/>
          <w:sz w:val="32"/>
          <w:szCs w:val="32"/>
        </w:rPr>
        <w:t>1900084</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bookmarkStart w:id="0" w:name="_GoBack"/>
      <w:bookmarkEnd w:id="0"/>
      <w:r>
        <w:rPr>
          <w:rFonts w:hint="eastAsia" w:ascii="仿宋" w:hAnsi="仿宋" w:eastAsia="仿宋"/>
          <w:bCs/>
          <w:kern w:val="32"/>
          <w:sz w:val="32"/>
          <w:szCs w:val="32"/>
          <w:lang w:val="en-US" w:eastAsia="zh-CN"/>
        </w:rPr>
        <w:t>XX室</w:t>
      </w:r>
      <w:r>
        <w:rPr>
          <w:rFonts w:hint="eastAsia" w:ascii="仿宋" w:hAnsi="仿宋" w:eastAsia="仿宋"/>
          <w:bCs/>
          <w:kern w:val="32"/>
          <w:sz w:val="32"/>
          <w:szCs w:val="32"/>
        </w:rPr>
        <w:t>拟搭建的建筑物未办理建设工程规划许可证，属违法建设。”</w:t>
      </w:r>
      <w:r>
        <w:rPr>
          <w:rFonts w:ascii="仿宋" w:hAnsi="仿宋" w:eastAsia="仿宋"/>
          <w:bCs/>
          <w:kern w:val="32"/>
          <w:sz w:val="32"/>
          <w:szCs w:val="32"/>
        </w:rPr>
        <w:t>2</w:t>
      </w:r>
      <w:r>
        <w:rPr>
          <w:rFonts w:hint="eastAsia" w:ascii="仿宋" w:hAnsi="仿宋" w:eastAsia="仿宋"/>
          <w:bCs/>
          <w:kern w:val="32"/>
          <w:sz w:val="32"/>
          <w:szCs w:val="32"/>
        </w:rPr>
        <w:t>月</w:t>
      </w:r>
      <w:r>
        <w:rPr>
          <w:rFonts w:ascii="仿宋" w:hAnsi="仿宋" w:eastAsia="仿宋"/>
          <w:bCs/>
          <w:kern w:val="32"/>
          <w:sz w:val="32"/>
          <w:szCs w:val="32"/>
        </w:rPr>
        <w:t>14</w:t>
      </w:r>
      <w:r>
        <w:rPr>
          <w:rFonts w:hint="eastAsia" w:ascii="仿宋" w:hAnsi="仿宋" w:eastAsia="仿宋"/>
          <w:bCs/>
          <w:kern w:val="32"/>
          <w:sz w:val="32"/>
          <w:szCs w:val="32"/>
        </w:rPr>
        <w:t>日，该认定书送达申请人。</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上述事实有下列证据证实：</w:t>
      </w:r>
    </w:p>
    <w:p>
      <w:pPr>
        <w:adjustRightInd w:val="0"/>
        <w:spacing w:line="580" w:lineRule="exact"/>
        <w:ind w:firstLine="640" w:firstLineChars="200"/>
        <w:rPr>
          <w:rFonts w:ascii="仿宋" w:hAnsi="仿宋" w:eastAsia="仿宋"/>
          <w:bCs/>
          <w:kern w:val="32"/>
          <w:sz w:val="32"/>
          <w:szCs w:val="32"/>
        </w:rPr>
      </w:pPr>
      <w:r>
        <w:rPr>
          <w:rFonts w:ascii="仿宋" w:hAnsi="仿宋" w:eastAsia="仿宋"/>
          <w:bCs/>
          <w:kern w:val="32"/>
          <w:sz w:val="32"/>
          <w:szCs w:val="32"/>
        </w:rPr>
        <w:t>1</w:t>
      </w:r>
      <w:r>
        <w:rPr>
          <w:rFonts w:hint="eastAsia" w:ascii="仿宋" w:hAnsi="仿宋" w:eastAsia="仿宋"/>
          <w:bCs/>
          <w:kern w:val="32"/>
          <w:sz w:val="32"/>
          <w:szCs w:val="32"/>
        </w:rPr>
        <w:t>、房屋权属登记信息查询结果证明。证明申请人为涉案房屋产权人。</w:t>
      </w:r>
    </w:p>
    <w:p>
      <w:pPr>
        <w:pStyle w:val="10"/>
        <w:autoSpaceDE/>
        <w:autoSpaceDN/>
        <w:spacing w:line="580" w:lineRule="exact"/>
        <w:ind w:firstLine="640" w:firstLineChars="200"/>
        <w:jc w:val="both"/>
        <w:rPr>
          <w:rFonts w:ascii="仿宋" w:hAnsi="仿宋_GB2312" w:eastAsia="仿宋" w:cs="仿宋_GB2312"/>
          <w:kern w:val="32"/>
          <w:sz w:val="32"/>
        </w:rPr>
      </w:pPr>
      <w:r>
        <w:rPr>
          <w:rFonts w:ascii="仿宋" w:hAnsi="仿宋" w:eastAsia="仿宋" w:cs="Times New Roman"/>
          <w:bCs/>
          <w:kern w:val="32"/>
          <w:sz w:val="32"/>
          <w:szCs w:val="32"/>
        </w:rPr>
        <w:t>2</w:t>
      </w:r>
      <w:r>
        <w:rPr>
          <w:rFonts w:hint="eastAsia" w:ascii="仿宋" w:hAnsi="仿宋" w:eastAsia="仿宋" w:cs="Times New Roman"/>
          <w:bCs/>
          <w:kern w:val="32"/>
          <w:sz w:val="32"/>
          <w:szCs w:val="32"/>
        </w:rPr>
        <w:t>、房屋分户平面图、现场检查笔录及照片。</w:t>
      </w:r>
      <w:r>
        <w:rPr>
          <w:rFonts w:hint="eastAsia" w:ascii="仿宋" w:hAnsi="仿宋_GB2312" w:eastAsia="仿宋" w:cs="仿宋_GB2312"/>
          <w:kern w:val="32"/>
          <w:sz w:val="32"/>
        </w:rPr>
        <w:t>证明申请人未向</w:t>
      </w:r>
      <w:r>
        <w:rPr>
          <w:rFonts w:hint="eastAsia" w:ascii="仿宋" w:hAnsi="仿宋" w:eastAsia="仿宋"/>
          <w:bCs/>
          <w:kern w:val="32"/>
          <w:sz w:val="32"/>
          <w:szCs w:val="32"/>
        </w:rPr>
        <w:t>太仓市住房和城乡建设局</w:t>
      </w:r>
      <w:r>
        <w:rPr>
          <w:rFonts w:hint="eastAsia" w:ascii="仿宋" w:hAnsi="仿宋_GB2312" w:eastAsia="仿宋" w:cs="仿宋_GB2312"/>
          <w:kern w:val="32"/>
          <w:sz w:val="32"/>
        </w:rPr>
        <w:t>申请规划许可即进行搭建的</w:t>
      </w:r>
      <w:r>
        <w:rPr>
          <w:rFonts w:hint="eastAsia" w:ascii="仿宋" w:eastAsia="仿宋"/>
          <w:kern w:val="32"/>
          <w:sz w:val="32"/>
          <w:szCs w:val="29"/>
        </w:rPr>
        <w:t>事实。</w:t>
      </w:r>
    </w:p>
    <w:p>
      <w:pPr>
        <w:pStyle w:val="10"/>
        <w:autoSpaceDE/>
        <w:autoSpaceDN/>
        <w:spacing w:line="580" w:lineRule="exact"/>
        <w:ind w:firstLine="640" w:firstLineChars="200"/>
        <w:jc w:val="both"/>
        <w:rPr>
          <w:rFonts w:ascii="仿宋" w:hAnsi="仿宋" w:eastAsia="仿宋" w:cs="Times New Roman"/>
          <w:bCs/>
          <w:kern w:val="32"/>
          <w:sz w:val="32"/>
          <w:szCs w:val="32"/>
        </w:rPr>
      </w:pPr>
      <w:r>
        <w:rPr>
          <w:rFonts w:ascii="仿宋" w:hAnsi="仿宋" w:eastAsia="仿宋" w:cs="Times New Roman"/>
          <w:bCs/>
          <w:kern w:val="32"/>
          <w:sz w:val="32"/>
          <w:szCs w:val="32"/>
        </w:rPr>
        <w:t>3</w:t>
      </w:r>
      <w:r>
        <w:rPr>
          <w:rFonts w:hint="eastAsia" w:ascii="仿宋" w:hAnsi="仿宋" w:eastAsia="仿宋" w:cs="Times New Roman"/>
          <w:bCs/>
          <w:kern w:val="32"/>
          <w:sz w:val="32"/>
          <w:szCs w:val="32"/>
        </w:rPr>
        <w:t>、</w:t>
      </w:r>
      <w:r>
        <w:rPr>
          <w:rFonts w:hint="eastAsia" w:ascii="仿宋" w:hAnsi="仿宋" w:eastAsia="仿宋"/>
          <w:bCs/>
          <w:kern w:val="32"/>
          <w:sz w:val="32"/>
          <w:szCs w:val="32"/>
        </w:rPr>
        <w:t>《在建建设规划认定书》（文书编号：</w:t>
      </w:r>
      <w:r>
        <w:rPr>
          <w:rFonts w:ascii="仿宋" w:hAnsi="仿宋" w:eastAsia="仿宋"/>
          <w:bCs/>
          <w:kern w:val="32"/>
          <w:sz w:val="32"/>
          <w:szCs w:val="32"/>
        </w:rPr>
        <w:t>1900084</w:t>
      </w:r>
      <w:r>
        <w:rPr>
          <w:rFonts w:hint="eastAsia" w:ascii="仿宋" w:hAnsi="仿宋" w:eastAsia="仿宋"/>
          <w:bCs/>
          <w:kern w:val="32"/>
          <w:sz w:val="32"/>
          <w:szCs w:val="32"/>
        </w:rPr>
        <w:t>）</w:t>
      </w:r>
      <w:r>
        <w:rPr>
          <w:rFonts w:hint="eastAsia" w:ascii="仿宋" w:hAnsi="仿宋" w:eastAsia="仿宋" w:cs="Times New Roman"/>
          <w:bCs/>
          <w:kern w:val="32"/>
          <w:sz w:val="32"/>
          <w:szCs w:val="32"/>
        </w:rPr>
        <w:t>。证明</w:t>
      </w:r>
      <w:r>
        <w:rPr>
          <w:rFonts w:hint="eastAsia" w:ascii="仿宋" w:hAnsi="仿宋" w:eastAsia="仿宋"/>
          <w:bCs/>
          <w:kern w:val="32"/>
          <w:sz w:val="32"/>
          <w:szCs w:val="32"/>
        </w:rPr>
        <w:t>太仓市住房和城乡建设局</w:t>
      </w:r>
      <w:r>
        <w:rPr>
          <w:rFonts w:hint="eastAsia" w:ascii="仿宋" w:hAnsi="仿宋" w:eastAsia="仿宋" w:cs="Times New Roman"/>
          <w:bCs/>
          <w:kern w:val="32"/>
          <w:sz w:val="32"/>
          <w:szCs w:val="32"/>
        </w:rPr>
        <w:t>认定申请人进行的搭建属违法建设的内容和时间。</w:t>
      </w:r>
      <w:r>
        <w:rPr>
          <w:rFonts w:ascii="仿宋" w:hAnsi="仿宋" w:eastAsia="仿宋" w:cs="Times New Roman"/>
          <w:bCs/>
          <w:kern w:val="32"/>
          <w:sz w:val="32"/>
          <w:szCs w:val="32"/>
        </w:rPr>
        <w:t xml:space="preserve"> </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本机关认为：县级以上地方人民政府城乡规划主管部门负责本行政区域内的城乡规划管理工作，太仓市住房和城乡建设局是进行违法建设认定的有权部门。在行政复议过程中，因机构改革，太仓市住房和城乡建设局的城乡规划管理职能转入太仓市自然资源和规划局，因此，本机关在案件审理过程中将本案被申请人调整为太仓市自然资源和规划局。</w:t>
      </w:r>
      <w:r>
        <w:rPr>
          <w:rFonts w:hint="eastAsia" w:ascii="仿宋" w:eastAsia="仿宋"/>
          <w:kern w:val="32"/>
          <w:sz w:val="32"/>
          <w:szCs w:val="28"/>
        </w:rPr>
        <w:t>《中华人民共和国城乡规划法》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本案中，雅鹿臻园位于城乡规划区内，申请人未取得建设工程规划许可证即进行建设，违反了上述规定。</w:t>
      </w:r>
      <w:r>
        <w:rPr>
          <w:rFonts w:hint="eastAsia" w:ascii="仿宋" w:hAnsi="仿宋" w:eastAsia="仿宋"/>
          <w:bCs/>
          <w:kern w:val="32"/>
          <w:sz w:val="32"/>
          <w:szCs w:val="32"/>
        </w:rPr>
        <w:t>被申请人</w:t>
      </w:r>
      <w:r>
        <w:rPr>
          <w:rFonts w:hint="eastAsia" w:ascii="仿宋" w:eastAsia="仿宋"/>
          <w:kern w:val="32"/>
          <w:sz w:val="32"/>
          <w:szCs w:val="28"/>
        </w:rPr>
        <w:t>作出违法建设的认定，</w:t>
      </w:r>
      <w:r>
        <w:rPr>
          <w:rFonts w:hint="eastAsia" w:ascii="仿宋" w:eastAsia="仿宋"/>
          <w:kern w:val="32"/>
          <w:sz w:val="32"/>
          <w:szCs w:val="29"/>
        </w:rPr>
        <w:t>事实清楚、依据充分。</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根据《中华人民共和国行政复议法》第二十八条第一款第一项之规定，本机关决定如下：</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维持被申请人作出的《在建建设规划认定书》（文书编号：</w:t>
      </w:r>
      <w:r>
        <w:rPr>
          <w:rFonts w:ascii="仿宋" w:hAnsi="仿宋" w:eastAsia="仿宋"/>
          <w:bCs/>
          <w:kern w:val="32"/>
          <w:sz w:val="32"/>
          <w:szCs w:val="32"/>
        </w:rPr>
        <w:t>1900084</w:t>
      </w:r>
      <w:r>
        <w:rPr>
          <w:rFonts w:hint="eastAsia" w:ascii="仿宋" w:hAnsi="仿宋" w:eastAsia="仿宋"/>
          <w:bCs/>
          <w:kern w:val="32"/>
          <w:sz w:val="32"/>
          <w:szCs w:val="32"/>
        </w:rPr>
        <w:t>）。</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如对本决定不服，可以自接到本决定书之日起</w:t>
      </w:r>
      <w:r>
        <w:rPr>
          <w:rFonts w:ascii="仿宋" w:hAnsi="仿宋" w:eastAsia="仿宋"/>
          <w:bCs/>
          <w:kern w:val="32"/>
          <w:sz w:val="32"/>
          <w:szCs w:val="32"/>
        </w:rPr>
        <w:t>15</w:t>
      </w:r>
      <w:r>
        <w:rPr>
          <w:rFonts w:hint="eastAsia" w:ascii="仿宋" w:hAnsi="仿宋" w:eastAsia="仿宋"/>
          <w:bCs/>
          <w:kern w:val="32"/>
          <w:sz w:val="32"/>
          <w:szCs w:val="32"/>
        </w:rPr>
        <w:t>日内，向人民法院提起行政诉讼。</w:t>
      </w:r>
    </w:p>
    <w:p>
      <w:pPr>
        <w:adjustRightInd w:val="0"/>
        <w:spacing w:line="580" w:lineRule="exact"/>
        <w:ind w:firstLine="640" w:firstLineChars="200"/>
        <w:rPr>
          <w:rFonts w:ascii="仿宋" w:hAnsi="仿宋" w:eastAsia="仿宋"/>
          <w:bCs/>
          <w:kern w:val="32"/>
          <w:sz w:val="32"/>
          <w:szCs w:val="32"/>
        </w:rPr>
      </w:pPr>
    </w:p>
    <w:p>
      <w:pPr>
        <w:adjustRightInd w:val="0"/>
        <w:spacing w:line="580" w:lineRule="exact"/>
        <w:ind w:firstLine="640" w:firstLineChars="200"/>
        <w:rPr>
          <w:rFonts w:ascii="仿宋" w:hAnsi="仿宋" w:eastAsia="仿宋"/>
          <w:bCs/>
          <w:kern w:val="32"/>
          <w:sz w:val="32"/>
          <w:szCs w:val="32"/>
        </w:rPr>
      </w:pPr>
      <w:r>
        <w:rPr>
          <w:rFonts w:ascii="仿宋" w:hAnsi="仿宋" w:eastAsia="仿宋"/>
          <w:bCs/>
          <w:kern w:val="32"/>
          <w:sz w:val="32"/>
          <w:szCs w:val="32"/>
        </w:rPr>
        <w:t xml:space="preserve">                         </w:t>
      </w:r>
      <w:r>
        <w:rPr>
          <w:rFonts w:hint="eastAsia" w:ascii="仿宋" w:hAnsi="仿宋" w:eastAsia="仿宋"/>
          <w:bCs/>
          <w:kern w:val="32"/>
          <w:sz w:val="32"/>
          <w:szCs w:val="32"/>
        </w:rPr>
        <w:t>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年五月二十三日</w:t>
      </w:r>
    </w:p>
    <w:p>
      <w:pPr>
        <w:overflowPunct w:val="0"/>
        <w:adjustRightInd w:val="0"/>
        <w:spacing w:before="100" w:beforeAutospacing="1" w:after="100" w:afterAutospacing="1" w:line="580" w:lineRule="exact"/>
        <w:rPr>
          <w:kern w:val="0"/>
        </w:rPr>
      </w:pPr>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- 1 -</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3A4657"/>
    <w:rsid w:val="00035F4A"/>
    <w:rsid w:val="000531C7"/>
    <w:rsid w:val="00080ADF"/>
    <w:rsid w:val="00132BBC"/>
    <w:rsid w:val="001464EE"/>
    <w:rsid w:val="001674C1"/>
    <w:rsid w:val="00181913"/>
    <w:rsid w:val="001D2E02"/>
    <w:rsid w:val="00200BEA"/>
    <w:rsid w:val="00213025"/>
    <w:rsid w:val="00263759"/>
    <w:rsid w:val="002D7778"/>
    <w:rsid w:val="002E2D03"/>
    <w:rsid w:val="00333FFB"/>
    <w:rsid w:val="00387776"/>
    <w:rsid w:val="003C622B"/>
    <w:rsid w:val="003E4B8D"/>
    <w:rsid w:val="00446786"/>
    <w:rsid w:val="00450795"/>
    <w:rsid w:val="00476AB0"/>
    <w:rsid w:val="00493160"/>
    <w:rsid w:val="004952B1"/>
    <w:rsid w:val="004C71F1"/>
    <w:rsid w:val="00500304"/>
    <w:rsid w:val="00502CB2"/>
    <w:rsid w:val="0058495B"/>
    <w:rsid w:val="00587139"/>
    <w:rsid w:val="005C0EAC"/>
    <w:rsid w:val="005C2462"/>
    <w:rsid w:val="00607D60"/>
    <w:rsid w:val="006364FD"/>
    <w:rsid w:val="00672A63"/>
    <w:rsid w:val="006F2DDB"/>
    <w:rsid w:val="0070428D"/>
    <w:rsid w:val="00773DDC"/>
    <w:rsid w:val="007C054B"/>
    <w:rsid w:val="007D509A"/>
    <w:rsid w:val="00823AF8"/>
    <w:rsid w:val="00823BA0"/>
    <w:rsid w:val="008A00B4"/>
    <w:rsid w:val="008D5E8C"/>
    <w:rsid w:val="0092146E"/>
    <w:rsid w:val="00924BA3"/>
    <w:rsid w:val="009260A5"/>
    <w:rsid w:val="0093141C"/>
    <w:rsid w:val="00933D42"/>
    <w:rsid w:val="00960D5F"/>
    <w:rsid w:val="00967E0B"/>
    <w:rsid w:val="00992812"/>
    <w:rsid w:val="009A7608"/>
    <w:rsid w:val="009F46BF"/>
    <w:rsid w:val="00A22ADD"/>
    <w:rsid w:val="00A33C94"/>
    <w:rsid w:val="00AD6664"/>
    <w:rsid w:val="00AF3109"/>
    <w:rsid w:val="00B52B59"/>
    <w:rsid w:val="00B91261"/>
    <w:rsid w:val="00BA7192"/>
    <w:rsid w:val="00BA72E1"/>
    <w:rsid w:val="00BB4984"/>
    <w:rsid w:val="00BE34B2"/>
    <w:rsid w:val="00C048D3"/>
    <w:rsid w:val="00C10A80"/>
    <w:rsid w:val="00C87CA7"/>
    <w:rsid w:val="00CF6EE8"/>
    <w:rsid w:val="00D226C9"/>
    <w:rsid w:val="00D26D5B"/>
    <w:rsid w:val="00D632E6"/>
    <w:rsid w:val="00E15C7D"/>
    <w:rsid w:val="00E607FE"/>
    <w:rsid w:val="00EB65C6"/>
    <w:rsid w:val="00EF1677"/>
    <w:rsid w:val="00FB040C"/>
    <w:rsid w:val="00FD22D2"/>
    <w:rsid w:val="137B6D60"/>
    <w:rsid w:val="180779C1"/>
    <w:rsid w:val="323A4657"/>
    <w:rsid w:val="65CF29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uiPriority w:val="99"/>
    <w:pPr>
      <w:jc w:val="left"/>
    </w:pPr>
  </w:style>
  <w:style w:type="paragraph" w:styleId="3">
    <w:name w:val="footer"/>
    <w:basedOn w:val="1"/>
    <w:link w:val="9"/>
    <w:uiPriority w:val="99"/>
    <w:pPr>
      <w:tabs>
        <w:tab w:val="center" w:pos="4153"/>
        <w:tab w:val="right" w:pos="8306"/>
      </w:tabs>
      <w:snapToGrid w:val="0"/>
      <w:jc w:val="left"/>
    </w:pPr>
    <w:rPr>
      <w:sz w:val="18"/>
      <w:szCs w:val="18"/>
    </w:rPr>
  </w:style>
  <w:style w:type="character" w:styleId="6">
    <w:name w:val="Strong"/>
    <w:basedOn w:val="5"/>
    <w:qFormat/>
    <w:uiPriority w:val="99"/>
    <w:rPr>
      <w:rFonts w:cs="Times New Roman"/>
      <w:b/>
      <w:bCs/>
    </w:rPr>
  </w:style>
  <w:style w:type="character" w:styleId="7">
    <w:name w:val="page number"/>
    <w:basedOn w:val="5"/>
    <w:qFormat/>
    <w:uiPriority w:val="99"/>
    <w:rPr>
      <w:rFonts w:cs="Times New Roman"/>
    </w:rPr>
  </w:style>
  <w:style w:type="character" w:customStyle="1" w:styleId="8">
    <w:name w:val="Comment Text Char"/>
    <w:basedOn w:val="5"/>
    <w:link w:val="2"/>
    <w:semiHidden/>
    <w:locked/>
    <w:uiPriority w:val="99"/>
    <w:rPr>
      <w:rFonts w:cs="Times New Roman"/>
      <w:sz w:val="24"/>
      <w:szCs w:val="24"/>
    </w:rPr>
  </w:style>
  <w:style w:type="character" w:customStyle="1" w:styleId="9">
    <w:name w:val="Footer Char"/>
    <w:basedOn w:val="5"/>
    <w:link w:val="3"/>
    <w:semiHidden/>
    <w:locked/>
    <w:uiPriority w:val="99"/>
    <w:rPr>
      <w:rFonts w:cs="Times New Roman"/>
      <w:sz w:val="18"/>
      <w:szCs w:val="18"/>
    </w:rPr>
  </w:style>
  <w:style w:type="paragraph" w:customStyle="1" w:styleId="10">
    <w:name w:val="样式"/>
    <w:qFormat/>
    <w:uiPriority w:val="99"/>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341</Words>
  <Characters>1944</Characters>
  <Lines>0</Lines>
  <Paragraphs>0</Paragraphs>
  <TotalTime>160</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cp:lastPrinted>2019-05-20T08:23:00Z</cp:lastPrinted>
  <dcterms:modified xsi:type="dcterms:W3CDTF">2019-09-27T07:47:29Z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