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w:t>
      </w:r>
      <w:r>
        <w:rPr>
          <w:rFonts w:hint="eastAsia" w:ascii="仿宋" w:hAnsi="仿宋" w:eastAsia="仿宋"/>
          <w:bCs/>
          <w:kern w:val="32"/>
          <w:sz w:val="32"/>
          <w:szCs w:val="32"/>
          <w:lang w:val="en-US" w:eastAsia="zh-CN"/>
        </w:rPr>
        <w:t>30</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color w:val="auto"/>
          <w:kern w:val="32"/>
          <w:sz w:val="32"/>
          <w:szCs w:val="32"/>
          <w:lang w:eastAsia="zh-CN"/>
        </w:rPr>
        <w:t>陈某某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w:t>
      </w:r>
      <w:r>
        <w:rPr>
          <w:rFonts w:hint="eastAsia" w:ascii="仿宋" w:hAnsi="仿宋" w:eastAsia="仿宋"/>
          <w:bCs/>
          <w:kern w:val="32"/>
          <w:sz w:val="32"/>
          <w:szCs w:val="32"/>
          <w:lang w:val="en-US" w:eastAsia="zh-CN"/>
        </w:rPr>
        <w:t>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日向本机关申请行政复议，本机关依法予以受理。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val="en-US" w:eastAsia="zh-CN"/>
        </w:rPr>
        <w:t>请求对雅鹿臻园XX幢XX室的违建认定，予以撤销，或暂不执行待以后房屋交易时再恢复原貌</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default" w:ascii="仿宋" w:hAnsi="仿宋" w:eastAsia="仿宋"/>
          <w:bCs/>
          <w:kern w:val="32"/>
          <w:sz w:val="32"/>
          <w:szCs w:val="32"/>
          <w:lang w:val="en-US" w:eastAsia="zh-CN"/>
        </w:rPr>
      </w:pPr>
      <w:r>
        <w:rPr>
          <w:rFonts w:hint="eastAsia" w:ascii="仿宋" w:hAnsi="仿宋" w:eastAsia="仿宋"/>
          <w:bCs/>
          <w:kern w:val="32"/>
          <w:sz w:val="32"/>
          <w:szCs w:val="32"/>
        </w:rPr>
        <w:t>申请人称：</w:t>
      </w:r>
      <w:r>
        <w:rPr>
          <w:rFonts w:hint="eastAsia" w:ascii="仿宋" w:hAnsi="仿宋" w:eastAsia="仿宋"/>
          <w:bCs/>
          <w:kern w:val="32"/>
          <w:sz w:val="32"/>
          <w:szCs w:val="32"/>
          <w:lang w:val="en-US" w:eastAsia="zh-CN"/>
        </w:rPr>
        <w:t>2016年底购买雅鹿臻园联排别墅，宣传说185平米、赠送190平米，而且在参观样板房的时候，开发商销售人员明确说以后很多小露台都可以浇起来。2017年10月拿房后，根据开发商的宣传及小区和其他小区的现状，为了美观也为了房屋使用过程中阳台不积水不漏水，仅对几个小阳台顶现浇处理</w:t>
      </w:r>
      <w:bookmarkStart w:id="0" w:name="_GoBack"/>
      <w:bookmarkEnd w:id="0"/>
      <w:r>
        <w:rPr>
          <w:rFonts w:hint="eastAsia" w:ascii="仿宋" w:hAnsi="仿宋" w:eastAsia="仿宋"/>
          <w:bCs/>
          <w:kern w:val="32"/>
          <w:sz w:val="32"/>
          <w:szCs w:val="32"/>
          <w:lang w:val="en-US" w:eastAsia="zh-CN"/>
        </w:rPr>
        <w:t>。2018年10月城管打电话说不行，要拆除，后来城管将我家二楼、三楼认定为违建部分的楼顶打了许多洞，到现在这些洞没有补。在找开发商理论无果、后续装修中也没有人及时、明确地指出哪些做法属于违建的情况下，继续进行施工，截止去年年底已经把所有窗户装好、瓷砖贴好，吊顶、柜子全部完成。2019年2月25日收到城管电话，说二、三楼现浇顶属违建要拆除。</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3、广告宣传单上的户型图</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color w:val="auto"/>
          <w:kern w:val="32"/>
          <w:sz w:val="32"/>
          <w:szCs w:val="32"/>
        </w:rPr>
        <w:t>被申请人答复称：</w:t>
      </w:r>
      <w:r>
        <w:rPr>
          <w:rFonts w:hint="eastAsia" w:ascii="仿宋" w:hAnsi="仿宋" w:eastAsia="仿宋" w:cs="Arial"/>
          <w:color w:val="auto"/>
          <w:kern w:val="32"/>
          <w:sz w:val="32"/>
          <w:szCs w:val="32"/>
          <w:lang w:val="en-US" w:eastAsia="zh-CN" w:bidi="ar-SA"/>
        </w:rPr>
        <w:t>根据</w:t>
      </w:r>
      <w:r>
        <w:rPr>
          <w:rFonts w:hint="eastAsia" w:ascii="仿宋" w:hAnsi="仿宋" w:eastAsia="仿宋" w:cs="Arial"/>
          <w:kern w:val="32"/>
          <w:sz w:val="32"/>
          <w:szCs w:val="32"/>
          <w:lang w:val="en-US" w:eastAsia="zh-CN" w:bidi="ar-SA"/>
        </w:rPr>
        <w:t>《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XX幢XX室所有权人。2019年2月12日，太仓市城市管理行政执法局执法人员在检查中发现，</w:t>
      </w:r>
      <w:r>
        <w:rPr>
          <w:rFonts w:hint="eastAsia" w:ascii="仿宋" w:hAnsi="仿宋" w:eastAsia="仿宋"/>
          <w:bCs/>
          <w:color w:val="auto"/>
          <w:kern w:val="32"/>
          <w:sz w:val="32"/>
          <w:szCs w:val="32"/>
        </w:rPr>
        <w:t>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lang w:eastAsia="zh-CN"/>
        </w:rPr>
        <w:t>在二楼北侧露台、</w:t>
      </w:r>
      <w:r>
        <w:rPr>
          <w:rFonts w:hint="eastAsia" w:ascii="仿宋" w:hAnsi="仿宋" w:eastAsia="仿宋"/>
          <w:bCs/>
          <w:color w:val="auto"/>
          <w:kern w:val="32"/>
          <w:sz w:val="32"/>
          <w:szCs w:val="32"/>
        </w:rPr>
        <w:t>三楼</w:t>
      </w:r>
      <w:r>
        <w:rPr>
          <w:rFonts w:hint="eastAsia" w:ascii="仿宋" w:hAnsi="仿宋" w:eastAsia="仿宋"/>
          <w:bCs/>
          <w:color w:val="auto"/>
          <w:kern w:val="32"/>
          <w:sz w:val="32"/>
          <w:szCs w:val="32"/>
          <w:lang w:eastAsia="zh-CN"/>
        </w:rPr>
        <w:t>北侧、东侧、南侧等位置存在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现浇、</w:t>
      </w:r>
      <w:r>
        <w:rPr>
          <w:rFonts w:hint="eastAsia" w:ascii="仿宋" w:hAnsi="仿宋" w:eastAsia="仿宋"/>
          <w:bCs/>
          <w:color w:val="auto"/>
          <w:kern w:val="32"/>
          <w:sz w:val="32"/>
          <w:szCs w:val="32"/>
        </w:rPr>
        <w:t>铝合金、玻璃等材料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w:t>
      </w:r>
      <w:r>
        <w:rPr>
          <w:rFonts w:hint="eastAsia" w:ascii="仿宋" w:hAnsi="仿宋" w:eastAsia="仿宋"/>
          <w:bCs/>
          <w:color w:val="auto"/>
          <w:kern w:val="32"/>
          <w:sz w:val="32"/>
          <w:szCs w:val="32"/>
          <w:lang w:val="en-US" w:eastAsia="zh-CN"/>
        </w:rPr>
        <w:t>25.52</w:t>
      </w:r>
      <w:r>
        <w:rPr>
          <w:rFonts w:hint="eastAsia" w:ascii="仿宋" w:hAnsi="仿宋" w:eastAsia="仿宋"/>
          <w:bCs/>
          <w:color w:val="auto"/>
          <w:kern w:val="32"/>
          <w:sz w:val="32"/>
          <w:szCs w:val="32"/>
        </w:rPr>
        <w:t>平方米。</w:t>
      </w:r>
      <w:r>
        <w:rPr>
          <w:rFonts w:hint="eastAsia" w:ascii="仿宋" w:hAnsi="仿宋" w:eastAsia="仿宋"/>
          <w:bCs/>
          <w:color w:val="auto"/>
          <w:kern w:val="32"/>
          <w:sz w:val="32"/>
          <w:szCs w:val="32"/>
          <w:lang w:val="en-US" w:eastAsia="zh-CN"/>
        </w:rPr>
        <w:t>2019年2</w:t>
      </w:r>
      <w:r>
        <w:rPr>
          <w:rFonts w:hint="eastAsia" w:ascii="仿宋" w:hAnsi="仿宋" w:eastAsia="仿宋"/>
          <w:bCs/>
          <w:kern w:val="32"/>
          <w:sz w:val="32"/>
          <w:szCs w:val="32"/>
          <w:lang w:val="en-US" w:eastAsia="zh-CN"/>
        </w:rPr>
        <w:t>月18日，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1800693</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cs="Arial"/>
          <w:kern w:val="32"/>
          <w:sz w:val="32"/>
          <w:szCs w:val="32"/>
          <w:lang w:val="en-US" w:eastAsia="zh-CN" w:bidi="ar-SA"/>
        </w:rPr>
        <w:t>房屋权属登记信息查询结果证明</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2、规划许可办理查询记录、房屋分户平面图、现场检查笔录及照片。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2A53690"/>
    <w:rsid w:val="02B078E9"/>
    <w:rsid w:val="074607DE"/>
    <w:rsid w:val="07E501D0"/>
    <w:rsid w:val="08A77FF7"/>
    <w:rsid w:val="0A4F41B5"/>
    <w:rsid w:val="0BFC7976"/>
    <w:rsid w:val="0C945468"/>
    <w:rsid w:val="0D0505D6"/>
    <w:rsid w:val="0ECF2541"/>
    <w:rsid w:val="0EDE3CBF"/>
    <w:rsid w:val="0F551477"/>
    <w:rsid w:val="109E1DBE"/>
    <w:rsid w:val="11506F12"/>
    <w:rsid w:val="15850C32"/>
    <w:rsid w:val="16F607C5"/>
    <w:rsid w:val="180779C1"/>
    <w:rsid w:val="190C2230"/>
    <w:rsid w:val="1D3C1ACC"/>
    <w:rsid w:val="1DD73395"/>
    <w:rsid w:val="21362FDE"/>
    <w:rsid w:val="223053AE"/>
    <w:rsid w:val="288602B5"/>
    <w:rsid w:val="2A58573A"/>
    <w:rsid w:val="2ACC5B40"/>
    <w:rsid w:val="2B8470FA"/>
    <w:rsid w:val="2D4F7FC0"/>
    <w:rsid w:val="323A4657"/>
    <w:rsid w:val="340F078E"/>
    <w:rsid w:val="341219B9"/>
    <w:rsid w:val="3AB41037"/>
    <w:rsid w:val="40984C35"/>
    <w:rsid w:val="40AE2EDD"/>
    <w:rsid w:val="40C20EA3"/>
    <w:rsid w:val="41382E83"/>
    <w:rsid w:val="4281226E"/>
    <w:rsid w:val="465E1B9A"/>
    <w:rsid w:val="48831155"/>
    <w:rsid w:val="48904D8D"/>
    <w:rsid w:val="4AD14946"/>
    <w:rsid w:val="4F386C4D"/>
    <w:rsid w:val="51796EA5"/>
    <w:rsid w:val="556B009C"/>
    <w:rsid w:val="585A750F"/>
    <w:rsid w:val="5A2772B1"/>
    <w:rsid w:val="5DB4471F"/>
    <w:rsid w:val="5DC86102"/>
    <w:rsid w:val="5E033C89"/>
    <w:rsid w:val="5F8808B8"/>
    <w:rsid w:val="5FEB46EF"/>
    <w:rsid w:val="616A2155"/>
    <w:rsid w:val="62DA0703"/>
    <w:rsid w:val="63AE75C3"/>
    <w:rsid w:val="63B8372E"/>
    <w:rsid w:val="64530920"/>
    <w:rsid w:val="648C572E"/>
    <w:rsid w:val="6502625E"/>
    <w:rsid w:val="66277625"/>
    <w:rsid w:val="67BA29DA"/>
    <w:rsid w:val="6CAA0202"/>
    <w:rsid w:val="6DB1083F"/>
    <w:rsid w:val="6DCC725A"/>
    <w:rsid w:val="6F4C3A96"/>
    <w:rsid w:val="7029448E"/>
    <w:rsid w:val="728927C1"/>
    <w:rsid w:val="76FC4B5C"/>
    <w:rsid w:val="7798691E"/>
    <w:rsid w:val="784A713F"/>
    <w:rsid w:val="7A8023E7"/>
    <w:rsid w:val="7C343929"/>
    <w:rsid w:val="7DB2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234</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2019-09-29T08:15:16Z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