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05" w:rsidRDefault="00513205" w:rsidP="0051320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513205" w:rsidRPr="00B2712B" w:rsidRDefault="00513205" w:rsidP="00513205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期）</w:t>
      </w:r>
    </w:p>
    <w:p w:rsidR="00513205" w:rsidRPr="001B5A58" w:rsidRDefault="00513205" w:rsidP="00513205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月份（第1期）对全市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饮料、</w:t>
      </w:r>
      <w:r w:rsidR="00EB2C8C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水果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制品、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肉制品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、方便食品、薯类及膨化食品、调味品、炒货食品及坚果制品、</w:t>
      </w:r>
      <w:r w:rsidR="00BF3A0D" w:rsidRPr="00BF3A0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淀粉及淀粉制品、粮食加工品、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糕点、食用农产品等进行了监督抽检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 w:rsidR="007C19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16</w:t>
      </w:r>
      <w:r w:rsidR="00BF3A0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</w:t>
      </w:r>
      <w:r w:rsidR="007C19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166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</w:t>
      </w:r>
      <w:r w:rsidR="00BF3A0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99.4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513205" w:rsidRPr="001B5A58" w:rsidRDefault="00513205" w:rsidP="00513205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 w:rsidR="00BF3A0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 w:rsidR="007C19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炒货食品及坚果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制品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不合格，不合格项目为</w:t>
      </w:r>
      <w:r w:rsidR="007C19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过氧化值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</w:t>
      </w:r>
    </w:p>
    <w:p w:rsidR="00513205" w:rsidRPr="001B5A58" w:rsidRDefault="00513205" w:rsidP="00513205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本期抽检结论为不合格的产品，市食安办已移交相关部门依法进行调查处置。</w:t>
      </w:r>
    </w:p>
    <w:p w:rsidR="00513205" w:rsidRPr="001B5A58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7C198B" w:rsidRDefault="007C198B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/>
    <w:p w:rsidR="00513205" w:rsidRDefault="00513205" w:rsidP="0051320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513205" w:rsidRPr="00B97AC4" w:rsidRDefault="00513205" w:rsidP="00B97A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期）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513205" w:rsidRPr="00817BA4" w:rsidTr="00B97AC4">
        <w:trPr>
          <w:trHeight w:hRule="exact" w:val="482"/>
        </w:trPr>
        <w:tc>
          <w:tcPr>
            <w:tcW w:w="1575" w:type="dxa"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 w:val="restart"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513205" w:rsidRPr="00EC361E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13205" w:rsidRPr="006B3F99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100</w:t>
            </w:r>
            <w:r w:rsidRPr="006B3F9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Pr="00EC361E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食用油、油脂及其制品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13205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13205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13205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淀粉及淀粉制品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13205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方便食品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13205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粮食加工品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13205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Pr="00EC361E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13205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食糖</w:t>
            </w:r>
          </w:p>
        </w:tc>
        <w:tc>
          <w:tcPr>
            <w:tcW w:w="992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13205" w:rsidRDefault="00513205" w:rsidP="00F81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Pr="00EC361E" w:rsidRDefault="00513205" w:rsidP="00F819F1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B3470A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513205" w:rsidRPr="006B3F99" w:rsidRDefault="0002673A" w:rsidP="00F819F1">
            <w:pPr>
              <w:spacing w:line="45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513205" w:rsidRPr="006B3F99" w:rsidRDefault="00513205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513205" w:rsidRPr="00817BA4" w:rsidRDefault="00513205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 w:val="restart"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513205" w:rsidRPr="00817BA4" w:rsidRDefault="00513205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513205" w:rsidRDefault="00E94253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513205" w:rsidRDefault="00E94253" w:rsidP="00F819F1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513205" w:rsidRPr="00EC361E" w:rsidRDefault="00513205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13205" w:rsidRPr="00817BA4" w:rsidRDefault="00E94253" w:rsidP="00BF3A0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</w:t>
            </w:r>
            <w:r w:rsidR="00BF3A0D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8.55</w:t>
            </w:r>
            <w:r w:rsidR="00513205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食用油、油脂及其制品</w:t>
            </w:r>
          </w:p>
        </w:tc>
        <w:tc>
          <w:tcPr>
            <w:tcW w:w="992" w:type="dxa"/>
            <w:vAlign w:val="center"/>
          </w:tcPr>
          <w:p w:rsidR="00E94253" w:rsidRPr="006B3F99" w:rsidRDefault="00E94253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2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E94253" w:rsidRPr="006B3F99" w:rsidRDefault="00BF3A0D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94253" w:rsidRPr="00EC361E" w:rsidRDefault="00BF3A0D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E94253" w:rsidRPr="006B3F99" w:rsidRDefault="00E94253" w:rsidP="00F819F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方便食品</w:t>
            </w:r>
          </w:p>
        </w:tc>
        <w:tc>
          <w:tcPr>
            <w:tcW w:w="992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94253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E94253" w:rsidRPr="00817BA4" w:rsidRDefault="00E94253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糖果制品</w:t>
            </w:r>
          </w:p>
        </w:tc>
        <w:tc>
          <w:tcPr>
            <w:tcW w:w="992" w:type="dxa"/>
            <w:vAlign w:val="center"/>
          </w:tcPr>
          <w:p w:rsidR="00E94253" w:rsidRDefault="00E94253" w:rsidP="00F819F1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94253" w:rsidRPr="00EC361E" w:rsidRDefault="00E94253" w:rsidP="00F819F1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4253" w:rsidRDefault="00E94253" w:rsidP="00F819F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Merge/>
            <w:vAlign w:val="center"/>
          </w:tcPr>
          <w:p w:rsidR="00513205" w:rsidRPr="00817BA4" w:rsidRDefault="00513205" w:rsidP="00F819F1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205" w:rsidRDefault="00513205" w:rsidP="00F819F1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513205" w:rsidRDefault="00BF3A0D" w:rsidP="00F819F1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69</w:t>
            </w:r>
          </w:p>
        </w:tc>
        <w:tc>
          <w:tcPr>
            <w:tcW w:w="1560" w:type="dxa"/>
            <w:vAlign w:val="center"/>
          </w:tcPr>
          <w:p w:rsidR="00513205" w:rsidRPr="00817BA4" w:rsidRDefault="00BF3A0D" w:rsidP="00F819F1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513205" w:rsidRPr="00817BA4" w:rsidRDefault="00513205" w:rsidP="00F819F1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513205" w:rsidRPr="004F6743" w:rsidRDefault="00513205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513205" w:rsidRPr="004F6743" w:rsidRDefault="00B97AC4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513205" w:rsidRPr="004F6743" w:rsidRDefault="00513205" w:rsidP="00F819F1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3205" w:rsidRDefault="00513205" w:rsidP="00F819F1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100%</w:t>
            </w:r>
          </w:p>
        </w:tc>
      </w:tr>
      <w:tr w:rsidR="00513205" w:rsidRPr="00817BA4" w:rsidTr="00B97AC4">
        <w:trPr>
          <w:trHeight w:hRule="exact" w:val="482"/>
        </w:trPr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:rsidR="00513205" w:rsidRPr="00817BA4" w:rsidRDefault="00513205" w:rsidP="00F819F1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513205" w:rsidRPr="00817BA4" w:rsidRDefault="00513205" w:rsidP="00F819F1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513205" w:rsidRPr="00817BA4" w:rsidRDefault="00B97AC4" w:rsidP="00F819F1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16</w:t>
            </w:r>
            <w:r w:rsidR="00BF3A0D">
              <w:rPr>
                <w:rFonts w:ascii="仿宋_GB2312" w:hAnsi="宋体" w:hint="eastAsia"/>
                <w:b/>
                <w:sz w:val="24"/>
              </w:rPr>
              <w:t>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513205" w:rsidRPr="00817BA4" w:rsidRDefault="00BF3A0D" w:rsidP="00F819F1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13205" w:rsidRPr="00817BA4" w:rsidRDefault="00B97AC4" w:rsidP="00BF3A0D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</w:t>
            </w:r>
            <w:r w:rsidR="00BF3A0D">
              <w:rPr>
                <w:rFonts w:ascii="仿宋_GB2312" w:hAnsi="宋体" w:hint="eastAsia"/>
                <w:b/>
                <w:sz w:val="24"/>
              </w:rPr>
              <w:t>9.4</w:t>
            </w:r>
            <w:r w:rsidR="00513205"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</w:tbl>
    <w:p w:rsidR="00513205" w:rsidRDefault="00513205">
      <w:pPr>
        <w:sectPr w:rsidR="00513205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513205" w:rsidRPr="005519AB" w:rsidRDefault="00513205" w:rsidP="00513205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534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18"/>
        <w:gridCol w:w="1701"/>
        <w:gridCol w:w="1276"/>
        <w:gridCol w:w="1701"/>
        <w:gridCol w:w="850"/>
        <w:gridCol w:w="851"/>
        <w:gridCol w:w="709"/>
        <w:gridCol w:w="1134"/>
        <w:gridCol w:w="992"/>
        <w:gridCol w:w="1086"/>
        <w:gridCol w:w="850"/>
        <w:gridCol w:w="993"/>
        <w:gridCol w:w="1182"/>
      </w:tblGrid>
      <w:tr w:rsidR="00513205" w:rsidRPr="00817BA4" w:rsidTr="00F819F1">
        <w:trPr>
          <w:cantSplit/>
          <w:trHeight w:hRule="exact" w:val="851"/>
          <w:jc w:val="center"/>
        </w:trPr>
        <w:tc>
          <w:tcPr>
            <w:tcW w:w="597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276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513205" w:rsidRDefault="00513205" w:rsidP="00F819F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0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709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商标</w:t>
            </w:r>
          </w:p>
        </w:tc>
        <w:tc>
          <w:tcPr>
            <w:tcW w:w="1134" w:type="dxa"/>
            <w:vAlign w:val="center"/>
          </w:tcPr>
          <w:p w:rsidR="00513205" w:rsidRPr="00BF49FC" w:rsidRDefault="00513205" w:rsidP="00F819F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992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086" w:type="dxa"/>
            <w:vAlign w:val="center"/>
          </w:tcPr>
          <w:p w:rsidR="00513205" w:rsidRDefault="00513205" w:rsidP="00F819F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850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93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513205" w:rsidRPr="00817BA4" w:rsidRDefault="00513205" w:rsidP="00F819F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513205" w:rsidRPr="00817BA4" w:rsidTr="00F819F1">
        <w:trPr>
          <w:cantSplit/>
          <w:trHeight w:hRule="exact" w:val="1391"/>
          <w:jc w:val="center"/>
        </w:trPr>
        <w:tc>
          <w:tcPr>
            <w:tcW w:w="597" w:type="dxa"/>
            <w:vAlign w:val="center"/>
          </w:tcPr>
          <w:p w:rsidR="00513205" w:rsidRPr="003D4061" w:rsidRDefault="00BF3A0D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3205" w:rsidRPr="0058105D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上海毅旺实业有限公司松江分公司</w:t>
            </w:r>
          </w:p>
        </w:tc>
        <w:tc>
          <w:tcPr>
            <w:tcW w:w="1701" w:type="dxa"/>
            <w:vAlign w:val="center"/>
          </w:tcPr>
          <w:p w:rsidR="00513205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上海市松江区泗泾镇九干路168号20幢B区102号</w:t>
            </w:r>
          </w:p>
        </w:tc>
        <w:tc>
          <w:tcPr>
            <w:tcW w:w="1276" w:type="dxa"/>
            <w:vAlign w:val="center"/>
          </w:tcPr>
          <w:p w:rsidR="00513205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太仓市城厢镇好易买佳超市</w:t>
            </w:r>
          </w:p>
        </w:tc>
        <w:tc>
          <w:tcPr>
            <w:tcW w:w="1701" w:type="dxa"/>
            <w:vAlign w:val="center"/>
          </w:tcPr>
          <w:p w:rsidR="00513205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江苏省苏州市太仓市城厢镇人民南路148号-101室</w:t>
            </w:r>
          </w:p>
        </w:tc>
        <w:tc>
          <w:tcPr>
            <w:tcW w:w="850" w:type="dxa"/>
            <w:vAlign w:val="center"/>
          </w:tcPr>
          <w:p w:rsidR="00513205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花生米</w:t>
            </w:r>
          </w:p>
        </w:tc>
        <w:tc>
          <w:tcPr>
            <w:tcW w:w="851" w:type="dxa"/>
            <w:vAlign w:val="center"/>
          </w:tcPr>
          <w:p w:rsidR="00513205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120g/袋</w:t>
            </w:r>
          </w:p>
        </w:tc>
        <w:tc>
          <w:tcPr>
            <w:tcW w:w="709" w:type="dxa"/>
            <w:vAlign w:val="center"/>
          </w:tcPr>
          <w:p w:rsidR="00513205" w:rsidRDefault="00513205" w:rsidP="00F819F1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513205" w:rsidRPr="0058105D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/>
                <w:sz w:val="24"/>
              </w:rPr>
              <w:t>2018/3/20</w:t>
            </w:r>
          </w:p>
        </w:tc>
        <w:tc>
          <w:tcPr>
            <w:tcW w:w="992" w:type="dxa"/>
            <w:vAlign w:val="center"/>
          </w:tcPr>
          <w:p w:rsidR="00513205" w:rsidRPr="0058105D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过氧化值</w:t>
            </w:r>
          </w:p>
        </w:tc>
        <w:tc>
          <w:tcPr>
            <w:tcW w:w="1086" w:type="dxa"/>
            <w:vAlign w:val="center"/>
          </w:tcPr>
          <w:p w:rsidR="00513205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/>
                <w:sz w:val="24"/>
              </w:rPr>
              <w:t>1.55</w:t>
            </w:r>
          </w:p>
        </w:tc>
        <w:tc>
          <w:tcPr>
            <w:tcW w:w="850" w:type="dxa"/>
            <w:vAlign w:val="center"/>
          </w:tcPr>
          <w:p w:rsidR="00513205" w:rsidRDefault="00A6768C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≤0.50</w:t>
            </w:r>
          </w:p>
        </w:tc>
        <w:tc>
          <w:tcPr>
            <w:tcW w:w="993" w:type="dxa"/>
            <w:vAlign w:val="center"/>
          </w:tcPr>
          <w:p w:rsidR="00513205" w:rsidRDefault="002163F5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炒货食品及坚果</w:t>
            </w:r>
            <w:r w:rsidRPr="005519AB">
              <w:rPr>
                <w:rFonts w:ascii="宋体" w:hAnsi="宋体" w:cs="宋体" w:hint="eastAsia"/>
                <w:sz w:val="24"/>
              </w:rPr>
              <w:t>制品</w:t>
            </w:r>
          </w:p>
        </w:tc>
        <w:tc>
          <w:tcPr>
            <w:tcW w:w="1182" w:type="dxa"/>
            <w:vAlign w:val="center"/>
          </w:tcPr>
          <w:p w:rsidR="00513205" w:rsidRPr="00F43E72" w:rsidRDefault="00513205" w:rsidP="00F819F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B5624">
              <w:rPr>
                <w:rFonts w:ascii="宋体" w:hAnsi="宋体" w:cs="宋体" w:hint="eastAsia"/>
                <w:sz w:val="24"/>
              </w:rPr>
              <w:t>太仓市检验检测中心</w:t>
            </w:r>
          </w:p>
        </w:tc>
      </w:tr>
    </w:tbl>
    <w:p w:rsidR="00513205" w:rsidRPr="007F3269" w:rsidRDefault="00513205" w:rsidP="00513205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513205" w:rsidRPr="00B24482" w:rsidRDefault="00513205" w:rsidP="00513205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6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513205" w:rsidRPr="00C82293" w:rsidRDefault="00513205" w:rsidP="00513205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513205" w:rsidRPr="00C82293" w:rsidRDefault="00513205" w:rsidP="00513205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513205" w:rsidRPr="004A70EF" w:rsidRDefault="00513205" w:rsidP="00513205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8</w:t>
      </w:r>
      <w:r w:rsidRPr="00C82293">
        <w:rPr>
          <w:rFonts w:ascii="宋体" w:hAnsi="宋体" w:cs="宋体" w:hint="eastAsia"/>
          <w:sz w:val="24"/>
        </w:rPr>
        <w:t>月</w:t>
      </w:r>
      <w:r w:rsidR="002163F5"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日</w:t>
      </w:r>
    </w:p>
    <w:p w:rsidR="00513205" w:rsidRDefault="00513205" w:rsidP="00513205"/>
    <w:p w:rsidR="00FD0CB2" w:rsidRDefault="00FD0CB2"/>
    <w:sectPr w:rsidR="00FD0CB2" w:rsidSect="004A70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7D" w:rsidRDefault="0037107D" w:rsidP="00BF3A0D">
      <w:r>
        <w:separator/>
      </w:r>
    </w:p>
  </w:endnote>
  <w:endnote w:type="continuationSeparator" w:id="1">
    <w:p w:rsidR="0037107D" w:rsidRDefault="0037107D" w:rsidP="00BF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7D" w:rsidRDefault="0037107D" w:rsidP="00BF3A0D">
      <w:r>
        <w:separator/>
      </w:r>
    </w:p>
  </w:footnote>
  <w:footnote w:type="continuationSeparator" w:id="1">
    <w:p w:rsidR="0037107D" w:rsidRDefault="0037107D" w:rsidP="00BF3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205"/>
    <w:rsid w:val="0002673A"/>
    <w:rsid w:val="002163F5"/>
    <w:rsid w:val="002C1739"/>
    <w:rsid w:val="00304027"/>
    <w:rsid w:val="0037107D"/>
    <w:rsid w:val="00425A62"/>
    <w:rsid w:val="00513205"/>
    <w:rsid w:val="00516BC3"/>
    <w:rsid w:val="005B0A93"/>
    <w:rsid w:val="007037E5"/>
    <w:rsid w:val="007515A8"/>
    <w:rsid w:val="007C198B"/>
    <w:rsid w:val="007E4D75"/>
    <w:rsid w:val="00886F11"/>
    <w:rsid w:val="00A15FEA"/>
    <w:rsid w:val="00A6768C"/>
    <w:rsid w:val="00A75843"/>
    <w:rsid w:val="00B579C2"/>
    <w:rsid w:val="00B97AC4"/>
    <w:rsid w:val="00BA51F6"/>
    <w:rsid w:val="00BF3A0D"/>
    <w:rsid w:val="00CD2CC7"/>
    <w:rsid w:val="00D5057E"/>
    <w:rsid w:val="00DD6DA1"/>
    <w:rsid w:val="00E94253"/>
    <w:rsid w:val="00EB2C8C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13205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BF3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F3A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BF3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BF3A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186</Words>
  <Characters>1064</Characters>
  <Application>Microsoft Office Word</Application>
  <DocSecurity>0</DocSecurity>
  <Lines>8</Lines>
  <Paragraphs>2</Paragraphs>
  <ScaleCrop>false</ScaleCrop>
  <Company>Sky123.Org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dcterms:created xsi:type="dcterms:W3CDTF">2018-08-15T01:41:00Z</dcterms:created>
  <dcterms:modified xsi:type="dcterms:W3CDTF">2018-08-15T09:40:00Z</dcterms:modified>
</cp:coreProperties>
</file>