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color w:val="auto"/>
          <w:spacing w:val="70"/>
          <w:sz w:val="44"/>
          <w:szCs w:val="44"/>
        </w:rPr>
      </w:pPr>
      <w:r>
        <w:rPr>
          <w:rFonts w:hint="eastAsia" w:ascii="宋体" w:hAnsi="宋体"/>
          <w:b/>
          <w:bCs/>
          <w:color w:val="auto"/>
          <w:spacing w:val="70"/>
          <w:sz w:val="44"/>
          <w:szCs w:val="44"/>
        </w:rPr>
        <w:t>太仓市人民政府</w:t>
      </w:r>
    </w:p>
    <w:p>
      <w:pPr>
        <w:rPr>
          <w:rFonts w:hint="eastAsia" w:eastAsia="黑体"/>
          <w:color w:val="auto"/>
          <w:sz w:val="44"/>
          <w:u w:val="thick"/>
        </w:rPr>
      </w:pPr>
      <w:r>
        <w:rPr>
          <w:rFonts w:hint="eastAsia" w:eastAsia="黑体"/>
          <w:color w:val="auto"/>
          <w:sz w:val="44"/>
          <w:u w:val="thick"/>
        </w:rPr>
        <w:t xml:space="preserve">                                </w:t>
      </w:r>
      <w:r>
        <w:rPr>
          <w:rFonts w:hint="eastAsia" w:eastAsia="黑体"/>
          <w:color w:val="auto"/>
          <w:sz w:val="44"/>
          <w:u w:val="thick"/>
          <w:lang w:val="en-US" w:eastAsia="zh-CN"/>
        </w:rPr>
        <w:t xml:space="preserve">  </w:t>
      </w:r>
      <w:r>
        <w:rPr>
          <w:rFonts w:hint="eastAsia" w:eastAsia="黑体"/>
          <w:color w:val="auto"/>
          <w:sz w:val="44"/>
          <w:u w:val="thick"/>
        </w:rPr>
        <w:t xml:space="preserve">   </w:t>
      </w:r>
      <w:r>
        <w:rPr>
          <w:rFonts w:hint="eastAsia" w:eastAsia="黑体"/>
          <w:color w:val="auto"/>
          <w:sz w:val="44"/>
          <w:u w:val="thick"/>
          <w:lang w:val="en-US" w:eastAsia="zh-CN"/>
        </w:rPr>
        <w:t xml:space="preserve"> </w:t>
      </w:r>
      <w:r>
        <w:rPr>
          <w:rFonts w:hint="eastAsia" w:eastAsia="黑体"/>
          <w:color w:val="auto"/>
          <w:sz w:val="44"/>
          <w:u w:val="thick"/>
        </w:rPr>
        <w:t xml:space="preserve">   </w:t>
      </w:r>
    </w:p>
    <w:p>
      <w:pPr>
        <w:spacing w:line="540" w:lineRule="exact"/>
        <w:jc w:val="center"/>
        <w:rPr>
          <w:rFonts w:hint="eastAsia" w:ascii="宋体" w:hAnsi="宋体"/>
          <w:b/>
          <w:bCs/>
          <w:color w:val="auto"/>
          <w:sz w:val="36"/>
          <w:szCs w:val="36"/>
        </w:rPr>
      </w:pPr>
    </w:p>
    <w:p>
      <w:pPr>
        <w:spacing w:line="540" w:lineRule="exact"/>
        <w:jc w:val="center"/>
        <w:rPr>
          <w:rFonts w:hint="eastAsia" w:ascii="宋体" w:hAnsi="宋体"/>
          <w:b/>
          <w:bCs/>
          <w:color w:val="auto"/>
          <w:sz w:val="52"/>
          <w:szCs w:val="52"/>
        </w:rPr>
      </w:pPr>
      <w:r>
        <w:rPr>
          <w:rFonts w:hint="eastAsia" w:ascii="宋体" w:hAnsi="宋体"/>
          <w:b/>
          <w:bCs/>
          <w:color w:val="auto"/>
          <w:sz w:val="52"/>
          <w:szCs w:val="52"/>
          <w:lang w:eastAsia="zh-CN"/>
        </w:rPr>
        <w:t>驳回</w:t>
      </w:r>
      <w:r>
        <w:rPr>
          <w:rFonts w:hint="eastAsia" w:ascii="宋体" w:hAnsi="宋体"/>
          <w:b/>
          <w:bCs/>
          <w:color w:val="auto"/>
          <w:sz w:val="52"/>
          <w:szCs w:val="52"/>
        </w:rPr>
        <w:t>行政复议</w:t>
      </w:r>
      <w:r>
        <w:rPr>
          <w:rFonts w:hint="eastAsia" w:ascii="宋体" w:hAnsi="宋体"/>
          <w:b/>
          <w:bCs/>
          <w:color w:val="auto"/>
          <w:sz w:val="52"/>
          <w:szCs w:val="52"/>
          <w:lang w:eastAsia="zh-CN"/>
        </w:rPr>
        <w:t>申请</w:t>
      </w:r>
      <w:r>
        <w:rPr>
          <w:rFonts w:hint="eastAsia" w:ascii="宋体" w:hAnsi="宋体"/>
          <w:b/>
          <w:bCs/>
          <w:color w:val="auto"/>
          <w:sz w:val="52"/>
          <w:szCs w:val="52"/>
        </w:rPr>
        <w:t>决定书</w:t>
      </w:r>
    </w:p>
    <w:p>
      <w:pPr>
        <w:spacing w:line="540" w:lineRule="exact"/>
        <w:jc w:val="right"/>
        <w:rPr>
          <w:rFonts w:hint="eastAsia" w:ascii="仿宋_GB2312" w:hAnsi="宋体" w:eastAsia="仿宋_GB2312"/>
          <w:bCs/>
          <w:color w:val="auto"/>
          <w:sz w:val="32"/>
          <w:szCs w:val="32"/>
        </w:rPr>
      </w:pPr>
    </w:p>
    <w:p>
      <w:pPr>
        <w:spacing w:line="540" w:lineRule="exact"/>
        <w:jc w:val="right"/>
        <w:rPr>
          <w:rFonts w:hint="eastAsia" w:ascii="仿宋" w:hAnsi="仿宋" w:eastAsia="仿宋"/>
          <w:bCs/>
          <w:color w:val="auto"/>
          <w:sz w:val="32"/>
          <w:szCs w:val="32"/>
        </w:rPr>
      </w:pPr>
      <w:r>
        <w:rPr>
          <w:rFonts w:hint="eastAsia" w:ascii="仿宋" w:hAnsi="仿宋" w:eastAsia="仿宋"/>
          <w:bCs/>
          <w:color w:val="auto"/>
          <w:sz w:val="32"/>
          <w:szCs w:val="32"/>
        </w:rPr>
        <w:t>〔201</w:t>
      </w:r>
      <w:r>
        <w:rPr>
          <w:rFonts w:hint="eastAsia" w:ascii="仿宋" w:hAnsi="仿宋" w:eastAsia="仿宋"/>
          <w:bCs/>
          <w:color w:val="auto"/>
          <w:sz w:val="32"/>
          <w:szCs w:val="32"/>
          <w:lang w:val="en-US" w:eastAsia="zh-CN"/>
        </w:rPr>
        <w:t>9</w:t>
      </w:r>
      <w:r>
        <w:rPr>
          <w:rFonts w:hint="eastAsia" w:ascii="仿宋" w:hAnsi="仿宋" w:eastAsia="仿宋"/>
          <w:bCs/>
          <w:color w:val="auto"/>
          <w:sz w:val="32"/>
          <w:szCs w:val="32"/>
        </w:rPr>
        <w:t>〕太</w:t>
      </w:r>
      <w:r>
        <w:rPr>
          <w:rFonts w:hint="eastAsia" w:ascii="仿宋" w:hAnsi="仿宋" w:eastAsia="仿宋"/>
          <w:bCs/>
          <w:color w:val="auto"/>
          <w:sz w:val="32"/>
          <w:szCs w:val="32"/>
          <w:lang w:val="en-US" w:eastAsia="zh-CN"/>
        </w:rPr>
        <w:t>府</w:t>
      </w:r>
      <w:r>
        <w:rPr>
          <w:rFonts w:hint="eastAsia" w:ascii="仿宋" w:hAnsi="仿宋" w:eastAsia="仿宋"/>
          <w:bCs/>
          <w:color w:val="auto"/>
          <w:sz w:val="32"/>
          <w:szCs w:val="32"/>
        </w:rPr>
        <w:t>行复第</w:t>
      </w:r>
      <w:r>
        <w:rPr>
          <w:rFonts w:hint="eastAsia" w:ascii="仿宋" w:hAnsi="仿宋" w:eastAsia="仿宋"/>
          <w:bCs/>
          <w:color w:val="auto"/>
          <w:sz w:val="32"/>
          <w:szCs w:val="32"/>
          <w:lang w:val="en-US" w:eastAsia="zh-CN"/>
        </w:rPr>
        <w:t>57</w:t>
      </w:r>
      <w:r>
        <w:rPr>
          <w:rFonts w:hint="eastAsia" w:ascii="仿宋" w:hAnsi="仿宋" w:eastAsia="仿宋"/>
          <w:bCs/>
          <w:color w:val="auto"/>
          <w:sz w:val="32"/>
          <w:szCs w:val="32"/>
        </w:rPr>
        <w:t>号</w:t>
      </w:r>
    </w:p>
    <w:p>
      <w:pPr>
        <w:spacing w:line="540" w:lineRule="exact"/>
        <w:jc w:val="right"/>
        <w:rPr>
          <w:rFonts w:hint="eastAsia" w:ascii="仿宋" w:hAnsi="仿宋" w:eastAsia="仿宋"/>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rPr>
        <w:t>申请人</w:t>
      </w:r>
      <w:r>
        <w:rPr>
          <w:rFonts w:hint="eastAsia" w:ascii="仿宋" w:hAnsi="仿宋" w:eastAsia="仿宋"/>
          <w:bCs/>
          <w:color w:val="auto"/>
          <w:sz w:val="32"/>
          <w:szCs w:val="32"/>
          <w:lang w:eastAsia="zh-CN"/>
        </w:rPr>
        <w:t>某公司</w:t>
      </w:r>
      <w:r>
        <w:rPr>
          <w:rFonts w:hint="eastAsia" w:ascii="仿宋" w:hAnsi="仿宋" w:eastAsia="仿宋"/>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eastAsia="zh-CN"/>
        </w:rPr>
      </w:pPr>
      <w:r>
        <w:rPr>
          <w:rFonts w:hint="eastAsia" w:ascii="仿宋" w:hAnsi="仿宋" w:eastAsia="仿宋"/>
          <w:bCs/>
          <w:color w:val="auto"/>
          <w:sz w:val="32"/>
          <w:szCs w:val="32"/>
        </w:rPr>
        <w:t>被申请人太仓市</w:t>
      </w:r>
      <w:r>
        <w:rPr>
          <w:rFonts w:hint="eastAsia" w:ascii="仿宋" w:hAnsi="仿宋" w:eastAsia="仿宋"/>
          <w:bCs/>
          <w:color w:val="auto"/>
          <w:sz w:val="32"/>
          <w:szCs w:val="32"/>
          <w:lang w:eastAsia="zh-CN"/>
        </w:rPr>
        <w:t>双凤镇人民政府。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申请人</w:t>
      </w:r>
      <w:r>
        <w:rPr>
          <w:rFonts w:hint="eastAsia" w:ascii="仿宋" w:hAnsi="仿宋" w:eastAsia="仿宋"/>
          <w:bCs/>
          <w:color w:val="auto"/>
          <w:sz w:val="32"/>
          <w:szCs w:val="32"/>
          <w:lang w:val="en-US" w:eastAsia="zh-CN"/>
        </w:rPr>
        <w:t>不服</w:t>
      </w:r>
      <w:r>
        <w:rPr>
          <w:rFonts w:hint="eastAsia" w:ascii="仿宋" w:hAnsi="仿宋" w:eastAsia="仿宋"/>
          <w:bCs/>
          <w:color w:val="auto"/>
          <w:sz w:val="32"/>
          <w:szCs w:val="32"/>
          <w:lang w:eastAsia="zh-CN"/>
        </w:rPr>
        <w:t>被</w:t>
      </w:r>
      <w:r>
        <w:rPr>
          <w:rFonts w:hint="eastAsia" w:ascii="仿宋" w:hAnsi="仿宋" w:eastAsia="仿宋"/>
          <w:bCs/>
          <w:color w:val="auto"/>
          <w:sz w:val="32"/>
          <w:szCs w:val="32"/>
        </w:rPr>
        <w:t>申请人</w:t>
      </w:r>
      <w:r>
        <w:rPr>
          <w:rFonts w:hint="eastAsia" w:ascii="仿宋" w:hAnsi="仿宋" w:eastAsia="仿宋"/>
          <w:bCs/>
          <w:color w:val="auto"/>
          <w:sz w:val="32"/>
          <w:szCs w:val="32"/>
          <w:lang w:val="en-US" w:eastAsia="zh-CN"/>
        </w:rPr>
        <w:t>作出的城乡规划管理行政行为</w:t>
      </w:r>
      <w:r>
        <w:rPr>
          <w:rFonts w:hint="eastAsia" w:ascii="仿宋" w:hAnsi="仿宋" w:eastAsia="仿宋"/>
          <w:bCs/>
          <w:color w:val="auto"/>
          <w:sz w:val="32"/>
          <w:szCs w:val="32"/>
        </w:rPr>
        <w:t>，于201</w:t>
      </w:r>
      <w:r>
        <w:rPr>
          <w:rFonts w:hint="eastAsia" w:ascii="仿宋" w:hAnsi="仿宋" w:eastAsia="仿宋"/>
          <w:bCs/>
          <w:color w:val="auto"/>
          <w:sz w:val="32"/>
          <w:szCs w:val="32"/>
          <w:lang w:val="en-US" w:eastAsia="zh-CN"/>
        </w:rPr>
        <w:t>9年8月22日向本机关申请行政复议。</w:t>
      </w:r>
      <w:r>
        <w:rPr>
          <w:rFonts w:hint="eastAsia" w:ascii="仿宋" w:hAnsi="仿宋" w:eastAsia="仿宋"/>
          <w:bCs/>
          <w:color w:val="auto"/>
          <w:sz w:val="32"/>
          <w:szCs w:val="32"/>
        </w:rPr>
        <w:t>本机关已依法受理</w:t>
      </w: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2019年10月21日，本机关召开听证会。</w:t>
      </w:r>
      <w:r>
        <w:rPr>
          <w:rFonts w:hint="eastAsia" w:ascii="仿宋" w:hAnsi="仿宋" w:eastAsia="仿宋"/>
          <w:bCs/>
          <w:color w:val="auto"/>
          <w:sz w:val="32"/>
          <w:szCs w:val="32"/>
          <w:lang w:eastAsia="zh-CN"/>
        </w:rPr>
        <w:t>因案情复杂，经批准，本案延期审理。</w:t>
      </w:r>
      <w:r>
        <w:rPr>
          <w:rFonts w:hint="eastAsia" w:ascii="仿宋" w:hAnsi="仿宋" w:eastAsia="仿宋"/>
          <w:bCs/>
          <w:color w:val="auto"/>
          <w:sz w:val="32"/>
          <w:szCs w:val="32"/>
        </w:rPr>
        <w:t>现</w:t>
      </w:r>
      <w:r>
        <w:rPr>
          <w:rFonts w:hint="eastAsia" w:ascii="仿宋" w:hAnsi="仿宋" w:eastAsia="仿宋"/>
          <w:bCs/>
          <w:color w:val="auto"/>
          <w:sz w:val="32"/>
          <w:szCs w:val="32"/>
          <w:lang w:eastAsia="zh-CN"/>
        </w:rPr>
        <w:t>本案</w:t>
      </w:r>
      <w:r>
        <w:rPr>
          <w:rFonts w:hint="eastAsia" w:ascii="仿宋" w:hAnsi="仿宋" w:eastAsia="仿宋"/>
          <w:bCs/>
          <w:color w:val="auto"/>
          <w:sz w:val="32"/>
          <w:szCs w:val="32"/>
        </w:rPr>
        <w:t>审理终结。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rPr>
        <w:t>申请人请求：</w:t>
      </w:r>
      <w:r>
        <w:rPr>
          <w:rFonts w:hint="eastAsia" w:ascii="仿宋" w:hAnsi="仿宋" w:eastAsia="仿宋"/>
          <w:bCs/>
          <w:color w:val="auto"/>
          <w:sz w:val="32"/>
          <w:szCs w:val="32"/>
          <w:lang w:val="en-US" w:eastAsia="zh-CN"/>
        </w:rPr>
        <w:t>撤销双凤镇改违（2019）第502号《责令改正违法行为通知书》。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rPr>
        <w:t>申请人称</w:t>
      </w: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申请人自2012年6月起，在江苏省苏州市太仓市双凤镇北原缪泾村八组（凤中村）从事生产经营。案涉房屋原系双凤镇凤中村村民委员会所有，后申请人从太仓市甲公司购买取得房屋所有权，村委会出具的《证明》对此予以证明。该房屋有太双集用（89）字第24号《集体土地建设用地使用权登记卡》，并载有四至范围。因涉案房屋面临征收，申请人与征收部门未就补偿安置达成一致意见。太仓市双凤镇综合执法领导小组办公室于2019年8月14日对申请人作出双凤镇改违（2019）第502号《责令改正违法行为通知书》，告知申请人由于案涉建筑物未办理乡村建设规划许可证，违反《中华人民共和国城乡规划法》，并责令申请人立即拆除案涉建筑物。太仓市双凤镇综合执法领导小组办公室系太仓市双凤镇人民政府内设机构，应以镇政府为被申请人。申请人认为《责令改正违法行为通知书》违法，理由如下：第一，作出案涉通知书适用法律错误。被申请人认定申请人房屋为违法建筑的依据是《中华人民共和国城乡规划法》。太双集用（89）字第24号《集体土地建设用地使用权登记卡》落款时间是1989年，说明该房屋建设时间早于2008年，而《城乡规划法》于2008年实施，根据法不溯及既往原则，被申请人适用《城乡规划法》明显错误；第二，《责令改正违法行为通知书》内容不合法，未告知申请人救济的权利。案涉《责令改正违法行为通知书》本质上是行政处罚决定的法律性质，应告知申请人有复议和诉讼的权利。因此，申请人认为《责令改正违法行为通知书》实体和程序均违法，严重侵犯了申请人的合法权利。为了维护自身的合法权益，申请人现依据《中华人民共和国行政复议法》之规定提起行政复议，请依法支持申请人的复议请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申请人提供的证据有：1.</w:t>
      </w:r>
      <w:r>
        <w:rPr>
          <w:rFonts w:hint="eastAsia" w:ascii="仿宋" w:hAnsi="仿宋" w:eastAsia="仿宋"/>
          <w:bCs/>
          <w:color w:val="auto"/>
          <w:sz w:val="32"/>
          <w:szCs w:val="32"/>
          <w:lang w:val="en-US" w:eastAsia="zh-CN"/>
        </w:rPr>
        <w:t>太双集用（89）字第24号《集体土地建设用地使用权登记卡》</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2.凤中村村委会《证明》。</w:t>
      </w:r>
      <w:r>
        <w:rPr>
          <w:rFonts w:hint="eastAsia" w:ascii="仿宋" w:hAnsi="仿宋" w:eastAsia="仿宋" w:cs="仿宋"/>
          <w:bCs/>
          <w:color w:val="auto"/>
          <w:sz w:val="32"/>
          <w:szCs w:val="32"/>
          <w:lang w:eastAsia="zh-CN"/>
        </w:rPr>
        <w:t>以上</w:t>
      </w:r>
      <w:r>
        <w:rPr>
          <w:rFonts w:hint="eastAsia" w:ascii="仿宋" w:hAnsi="仿宋" w:eastAsia="仿宋" w:cs="仿宋"/>
          <w:bCs/>
          <w:color w:val="auto"/>
          <w:sz w:val="32"/>
          <w:szCs w:val="32"/>
          <w:lang w:val="en-US" w:eastAsia="zh-CN"/>
        </w:rPr>
        <w:t>证据</w:t>
      </w:r>
      <w:r>
        <w:rPr>
          <w:rFonts w:hint="eastAsia" w:ascii="仿宋" w:hAnsi="仿宋" w:eastAsia="仿宋" w:cs="仿宋"/>
          <w:bCs/>
          <w:color w:val="auto"/>
          <w:sz w:val="32"/>
          <w:szCs w:val="32"/>
          <w:lang w:eastAsia="zh-CN"/>
        </w:rPr>
        <w:t>均为复印件。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default" w:ascii="仿宋" w:hAnsi="仿宋" w:eastAsia="仿宋"/>
          <w:bCs/>
          <w:color w:val="auto"/>
          <w:sz w:val="32"/>
          <w:szCs w:val="32"/>
          <w:lang w:val="en-US" w:eastAsia="zh-CN"/>
        </w:rPr>
      </w:pPr>
      <w:r>
        <w:rPr>
          <w:rFonts w:hint="eastAsia" w:ascii="仿宋" w:hAnsi="仿宋" w:eastAsia="仿宋"/>
          <w:bCs/>
          <w:color w:val="auto"/>
          <w:sz w:val="32"/>
          <w:szCs w:val="32"/>
        </w:rPr>
        <w:t>被申请人</w:t>
      </w:r>
      <w:r>
        <w:rPr>
          <w:rFonts w:hint="eastAsia" w:ascii="仿宋" w:hAnsi="仿宋" w:eastAsia="仿宋"/>
          <w:bCs/>
          <w:color w:val="auto"/>
          <w:sz w:val="32"/>
          <w:szCs w:val="32"/>
          <w:lang w:eastAsia="zh-CN"/>
        </w:rPr>
        <w:t>太仓市双凤镇人民政府</w:t>
      </w:r>
      <w:r>
        <w:rPr>
          <w:rFonts w:hint="eastAsia" w:ascii="仿宋" w:hAnsi="仿宋" w:eastAsia="仿宋"/>
          <w:bCs/>
          <w:color w:val="auto"/>
          <w:sz w:val="32"/>
          <w:szCs w:val="32"/>
        </w:rPr>
        <w:t>称</w:t>
      </w:r>
      <w:r>
        <w:rPr>
          <w:rFonts w:hint="eastAsia" w:ascii="仿宋" w:hAnsi="仿宋" w:eastAsia="仿宋"/>
          <w:bCs/>
          <w:color w:val="auto"/>
          <w:sz w:val="32"/>
          <w:szCs w:val="32"/>
          <w:lang w:eastAsia="zh-CN"/>
        </w:rPr>
        <w:t>：一、申请人存在搭建违章建筑的事实</w:t>
      </w:r>
      <w:r>
        <w:rPr>
          <w:rFonts w:hint="eastAsia" w:ascii="仿宋" w:hAnsi="仿宋" w:eastAsia="仿宋"/>
          <w:bCs/>
          <w:color w:val="auto"/>
          <w:sz w:val="32"/>
          <w:szCs w:val="32"/>
          <w:lang w:val="en-US" w:eastAsia="zh-CN"/>
        </w:rPr>
        <w:t>。2019年7月26日，双凤镇国土所以及双凤镇建管所出具太仓市双凤镇“两违”（违法用地、违法建设）认定书（双改违（2019）502号），查明申请人确实存在搭建违章建筑的事实。申请人未能依法提供房屋权属证明以及批建手续，有关部门认定事实符合法律规定。二、被申请人制发的《责令改正违法行为通知书》，适用法律正确，程序合法。被申请人依法对申请人的违建进行认定，并及时通知申请人限期自行拆除，系依法履行行政职责，该法律文书是告知书性质并非行政处罚决定书，告知书适用法律正确，程序符合法律规定。综上，请求复议机关依法维持答复人作出的《责令改正违法行为通知书》双凤镇改违（2019）第502号，驳回申请人的复议请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bCs/>
          <w:color w:val="auto"/>
          <w:sz w:val="32"/>
          <w:szCs w:val="32"/>
          <w:lang w:val="en-US" w:eastAsia="zh-CN"/>
        </w:rPr>
        <w:t>被申请人太仓市双凤镇人民政府提供的证据有：1.责令改正违法行为通知书（含邮件交寄单收据）；2.太仓市双凤镇“两违”（违法用地、违法建设）认定书；3.照片2张。</w:t>
      </w:r>
      <w:r>
        <w:rPr>
          <w:rFonts w:hint="eastAsia" w:ascii="仿宋" w:hAnsi="仿宋" w:eastAsia="仿宋" w:cs="仿宋"/>
          <w:color w:val="auto"/>
          <w:kern w:val="0"/>
          <w:sz w:val="32"/>
          <w:szCs w:val="32"/>
          <w:lang w:val="en-US" w:eastAsia="zh-CN"/>
        </w:rPr>
        <w:t>以上证据均为复印件。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rPr>
        <w:t>经审</w:t>
      </w:r>
      <w:r>
        <w:rPr>
          <w:rFonts w:hint="eastAsia" w:ascii="仿宋" w:hAnsi="仿宋" w:eastAsia="仿宋"/>
          <w:bCs/>
          <w:color w:val="auto"/>
          <w:sz w:val="32"/>
          <w:szCs w:val="32"/>
          <w:lang w:eastAsia="zh-CN"/>
        </w:rPr>
        <w:t>理</w:t>
      </w:r>
      <w:r>
        <w:rPr>
          <w:rFonts w:hint="eastAsia" w:ascii="仿宋" w:hAnsi="仿宋" w:eastAsia="仿宋"/>
          <w:bCs/>
          <w:color w:val="auto"/>
          <w:sz w:val="32"/>
          <w:szCs w:val="32"/>
        </w:rPr>
        <w:t>查明</w:t>
      </w:r>
      <w:r>
        <w:rPr>
          <w:rFonts w:hint="eastAsia" w:ascii="仿宋" w:hAnsi="仿宋" w:eastAsia="仿宋"/>
          <w:bCs/>
          <w:color w:val="auto"/>
          <w:sz w:val="32"/>
          <w:szCs w:val="32"/>
          <w:lang w:eastAsia="zh-CN"/>
        </w:rPr>
        <w:t>：</w:t>
      </w:r>
      <w:r>
        <w:rPr>
          <w:rFonts w:hint="eastAsia" w:ascii="仿宋" w:hAnsi="仿宋" w:eastAsia="仿宋"/>
          <w:bCs/>
          <w:color w:val="auto"/>
          <w:sz w:val="32"/>
          <w:szCs w:val="32"/>
          <w:lang w:val="en-US" w:eastAsia="zh-CN"/>
        </w:rPr>
        <w:t>1989年12月，双凤镇缪泾村八组2157平方米集体土地经批准用于建双凤缪泾经济合作社（针织服装厂）厂房，批准的建筑面积为914.71平方米。后村委会将地上建筑物出卖给太仓市甲公司。2012年6月，经太仓市双凤镇凤中村村民委员会同意，太仓市甲公司将太仓市双凤镇北原缪泾村八组7.1亩集体土地使用权转租给申请人，并将地上建筑物出卖给申请人。后申请人与太仓市双凤镇凤中村村民委员会签订租地协议，租期为2015年1月1日至2017年12月31日，租期届满后双方未签署新的租地协议，申请人未搬离。2019年7月26日，太仓市国土资源局双凤国土资源所、太仓市双凤镇建设管理所制作《太仓市双凤镇“两违”（违法用地、违法建设）认定书》，认为申请人在凤中村45组存在未经批准擅自搭建房屋及彩钢棚约1000平方米的行为，搭建的房屋及彩钢棚属违法建筑。2019年8月13日，太仓市双凤镇综合执法领导小组办公室向申请人作出《责令改正违法行为通知书》[编号：双凤镇改违（2019）第502号]，责令申请人自收到该通知书之日起立即拆除违章建筑（构筑物）和其他设施等，并恢复土地原貌。该通知书于2019年8月14日向申请人完成邮寄送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lang w:val="en-US" w:eastAsia="zh-CN"/>
        </w:rPr>
      </w:pPr>
      <w:r>
        <w:rPr>
          <w:rFonts w:hint="eastAsia" w:ascii="仿宋" w:hAnsi="仿宋" w:eastAsia="仿宋"/>
          <w:bCs/>
          <w:color w:val="auto"/>
          <w:sz w:val="32"/>
          <w:szCs w:val="32"/>
          <w:lang w:val="en-US" w:eastAsia="zh-CN"/>
        </w:rPr>
        <w:t>另查明：2019年8月19日，太仓市双凤镇人民政府向申请人制发《太仓市双凤镇人民政府行政强制拆除决定书》[（2019）164号]，称申请人未在指定期限内自行拆除清理位于双凤镇凤中村内的违章建筑，现决定由政府组织相关职能部门行政强制拆除。该决定书由被申请人于2019年8月20日向申请人完成邮寄送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上述事实有下列证据证明：</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bCs/>
          <w:color w:val="auto"/>
          <w:sz w:val="32"/>
          <w:szCs w:val="32"/>
          <w:lang w:val="en-US" w:eastAsia="zh-CN"/>
        </w:rPr>
        <w:t>太双集用（89）字第24号《集体土地建设用地使用权登记卡》</w:t>
      </w:r>
      <w:r>
        <w:rPr>
          <w:rFonts w:hint="eastAsia" w:ascii="仿宋" w:hAnsi="仿宋" w:eastAsia="仿宋" w:cs="仿宋"/>
          <w:color w:val="auto"/>
          <w:kern w:val="0"/>
          <w:sz w:val="32"/>
          <w:szCs w:val="32"/>
          <w:lang w:val="en-US" w:eastAsia="zh-CN"/>
        </w:rPr>
        <w:t>。证明双凤镇缪泾经济合作社（针织服装厂）在缪泾八组的用地审批情况。</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kern w:val="0"/>
          <w:sz w:val="32"/>
          <w:szCs w:val="32"/>
          <w:lang w:val="en-US" w:eastAsia="zh-CN"/>
        </w:rPr>
        <w:t>凤中村村委会《证明》。证明申请人从案外人太仓市甲公司处转租双凤镇北原缪泾村八组7.1亩土地，并从太仓市甲公司处购买地上建筑物，相关手续在凤中村村委会处有备案。</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bCs/>
          <w:color w:val="auto"/>
          <w:sz w:val="32"/>
          <w:szCs w:val="32"/>
          <w:lang w:val="en-US" w:eastAsia="zh-CN"/>
        </w:rPr>
        <w:t>太仓市双凤镇“两违”（违法用地、违法建设）认定书、照片2张</w:t>
      </w:r>
      <w:r>
        <w:rPr>
          <w:rFonts w:hint="eastAsia" w:ascii="仿宋" w:hAnsi="仿宋" w:eastAsia="仿宋" w:cs="仿宋"/>
          <w:color w:val="auto"/>
          <w:kern w:val="0"/>
          <w:sz w:val="32"/>
          <w:szCs w:val="32"/>
          <w:lang w:val="en-US" w:eastAsia="zh-CN"/>
        </w:rPr>
        <w:t>。证明涉案房屋现状，被认定为违法建筑。</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bCs/>
          <w:color w:val="auto"/>
          <w:sz w:val="32"/>
          <w:szCs w:val="32"/>
          <w:lang w:val="en-US" w:eastAsia="zh-CN"/>
        </w:rPr>
        <w:t>责令改正违法行为通知书（含邮件交寄单收据）。证明责令改正要求及送达方式、送达时间。</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太仓市双凤镇人民政府行政强制拆除决定书（含邮件交寄单收据）。证明被申请人作出强制拆除决定书的内容、时间及送达的方式、时间。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left"/>
        <w:textAlignment w:val="auto"/>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本机关认为，</w:t>
      </w:r>
      <w:bookmarkStart w:id="0" w:name="14"/>
      <w:r>
        <w:rPr>
          <w:rFonts w:hint="eastAsia" w:ascii="仿宋" w:hAnsi="仿宋" w:eastAsia="仿宋" w:cs="仿宋"/>
          <w:bCs/>
          <w:color w:val="auto"/>
          <w:sz w:val="32"/>
          <w:szCs w:val="32"/>
          <w:lang w:eastAsia="zh-CN"/>
        </w:rPr>
        <w:t>《中华人民共和国行政复议法实施条例》第十四条</w:t>
      </w:r>
      <w:bookmarkEnd w:id="0"/>
      <w:r>
        <w:rPr>
          <w:rFonts w:hint="eastAsia" w:ascii="仿宋" w:hAnsi="仿宋" w:eastAsia="仿宋" w:cs="仿宋"/>
          <w:bCs/>
          <w:color w:val="auto"/>
          <w:sz w:val="32"/>
          <w:szCs w:val="32"/>
          <w:lang w:eastAsia="zh-CN"/>
        </w:rPr>
        <w:t>规定：“行政机关设立的派出机构、内设机构或者其他组织，未经法律、法规授权，对外以自己名义作出具体行政行为的，该行政机关为被申请人。”太仓市双凤镇综合执法领导小组办公室为太仓市双凤镇人民政府设立的内设机构，其未经法律法规授权以自己名义对外制发《责令改正违法行为通知书》，太仓市双凤镇人民政府为本案适格被申请人。在申请人提起本案复议申请之前，被申请人作出了强制拆除决定书并向申请人完成送达，责令改正违法行为通知书的法律效力已经被后续的强制拆除决定所吸收、覆盖，责令改正行为已成为过程性、程序性环节，不再具有独立的诉的利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left"/>
        <w:textAlignment w:val="auto"/>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综上，本案中，责令改正违法行为通知为过程性、程序性环节，不属于《中华人民共和国行政复议法》第六条规定的行政复议受理范围。根据《中华人民共和国行政复议法实施条例》第四十八条第一款第二项的规定，本机关决定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驳回某</w:t>
      </w:r>
      <w:bookmarkStart w:id="1" w:name="_GoBack"/>
      <w:bookmarkEnd w:id="1"/>
      <w:r>
        <w:rPr>
          <w:rFonts w:hint="eastAsia" w:ascii="仿宋" w:hAnsi="仿宋" w:eastAsia="仿宋" w:cs="仿宋"/>
          <w:bCs/>
          <w:color w:val="auto"/>
          <w:sz w:val="32"/>
          <w:szCs w:val="32"/>
          <w:lang w:eastAsia="zh-CN"/>
        </w:rPr>
        <w:t>公司的行政复议申请。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textAlignment w:val="auto"/>
        <w:outlineLvl w:val="9"/>
        <w:rPr>
          <w:rFonts w:hint="eastAsia" w:ascii="仿宋" w:hAnsi="仿宋" w:eastAsia="仿宋" w:cs="仿宋"/>
          <w:bCs/>
          <w:color w:val="auto"/>
          <w:sz w:val="32"/>
          <w:szCs w:val="32"/>
          <w:lang w:eastAsia="zh-CN"/>
        </w:rPr>
      </w:pPr>
      <w:r>
        <w:rPr>
          <w:rFonts w:hint="eastAsia" w:ascii="仿宋" w:hAnsi="仿宋" w:eastAsia="仿宋"/>
          <w:bCs/>
          <w:color w:val="auto"/>
          <w:sz w:val="32"/>
          <w:szCs w:val="32"/>
        </w:rPr>
        <w:t>如对本复议决定不服，可以自接到本决定书之日起15日内，向人民法院提起行政诉讼。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right"/>
        <w:textAlignment w:val="auto"/>
        <w:outlineLvl w:val="9"/>
        <w:rPr>
          <w:rFonts w:hint="eastAsia" w:ascii="仿宋" w:hAnsi="仿宋" w:eastAsia="仿宋"/>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right"/>
        <w:textAlignment w:val="auto"/>
        <w:outlineLvl w:val="9"/>
        <w:rPr>
          <w:rFonts w:hint="eastAsia" w:ascii="仿宋" w:hAnsi="仿宋" w:eastAsia="仿宋"/>
          <w:bCs/>
          <w:color w:val="auto"/>
          <w:sz w:val="32"/>
          <w:szCs w:val="32"/>
        </w:rPr>
      </w:pPr>
      <w:r>
        <w:rPr>
          <w:rFonts w:hint="eastAsia" w:ascii="仿宋" w:hAnsi="仿宋" w:eastAsia="仿宋"/>
          <w:bCs/>
          <w:color w:val="auto"/>
          <w:sz w:val="32"/>
          <w:szCs w:val="32"/>
        </w:rPr>
        <w:t>二〇一</w:t>
      </w:r>
      <w:r>
        <w:rPr>
          <w:rFonts w:hint="eastAsia" w:ascii="仿宋" w:hAnsi="仿宋" w:eastAsia="仿宋"/>
          <w:bCs/>
          <w:color w:val="auto"/>
          <w:sz w:val="32"/>
          <w:szCs w:val="32"/>
          <w:lang w:val="en-US" w:eastAsia="zh-CN"/>
        </w:rPr>
        <w:t>九</w:t>
      </w:r>
      <w:r>
        <w:rPr>
          <w:rFonts w:hint="eastAsia" w:ascii="仿宋" w:hAnsi="仿宋" w:eastAsia="仿宋"/>
          <w:bCs/>
          <w:color w:val="auto"/>
          <w:sz w:val="32"/>
          <w:szCs w:val="32"/>
        </w:rPr>
        <w:t>年</w:t>
      </w:r>
      <w:r>
        <w:rPr>
          <w:rFonts w:hint="eastAsia" w:ascii="仿宋" w:hAnsi="仿宋" w:eastAsia="仿宋"/>
          <w:bCs/>
          <w:color w:val="auto"/>
          <w:sz w:val="32"/>
          <w:szCs w:val="32"/>
          <w:lang w:val="en-US" w:eastAsia="zh-CN"/>
        </w:rPr>
        <w:t>十一</w:t>
      </w:r>
      <w:r>
        <w:rPr>
          <w:rFonts w:hint="eastAsia" w:ascii="仿宋" w:hAnsi="仿宋" w:eastAsia="仿宋"/>
          <w:bCs/>
          <w:color w:val="auto"/>
          <w:sz w:val="32"/>
          <w:szCs w:val="32"/>
        </w:rPr>
        <w:t>月</w:t>
      </w:r>
      <w:r>
        <w:rPr>
          <w:rFonts w:hint="eastAsia" w:ascii="仿宋" w:hAnsi="仿宋" w:eastAsia="仿宋"/>
          <w:bCs/>
          <w:color w:val="auto"/>
          <w:sz w:val="32"/>
          <w:szCs w:val="32"/>
          <w:lang w:eastAsia="zh-CN"/>
        </w:rPr>
        <w:t>十五</w:t>
      </w:r>
      <w:r>
        <w:rPr>
          <w:rFonts w:hint="eastAsia" w:ascii="仿宋" w:hAnsi="仿宋" w:eastAsia="仿宋"/>
          <w:bCs/>
          <w:color w:val="auto"/>
          <w:sz w:val="32"/>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34" w:firstLine="640" w:firstLineChars="200"/>
        <w:jc w:val="left"/>
        <w:textAlignment w:val="auto"/>
        <w:outlineLvl w:val="9"/>
        <w:rPr>
          <w:rFonts w:hint="eastAsia" w:ascii="仿宋" w:hAnsi="仿宋" w:eastAsia="仿宋"/>
          <w:bCs/>
          <w:color w:val="auto"/>
          <w:sz w:val="32"/>
          <w:szCs w:val="32"/>
        </w:rPr>
      </w:pPr>
    </w:p>
    <w:sectPr>
      <w:footerReference r:id="rId3" w:type="default"/>
      <w:pgSz w:w="11906" w:h="16838"/>
      <w:pgMar w:top="2041" w:right="1531" w:bottom="1814" w:left="1531" w:header="851" w:footer="992" w:gutter="0"/>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fldChar w:fldCharType="begin"/>
                          </w:r>
                          <w:r>
                            <w:rPr>
                              <w:rStyle w:val="5"/>
                            </w:rPr>
                            <w:instrText xml:space="preserve"> PAGE </w:instrText>
                          </w:r>
                          <w:r>
                            <w:fldChar w:fldCharType="separate"/>
                          </w:r>
                          <w:r>
                            <w:rPr>
                              <w:rStyle w:val="5"/>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2"/>
                      <w:jc w:val="center"/>
                    </w:pPr>
                    <w:r>
                      <w:fldChar w:fldCharType="begin"/>
                    </w:r>
                    <w:r>
                      <w:rPr>
                        <w:rStyle w:val="5"/>
                      </w:rPr>
                      <w:instrText xml:space="preserve"> PAGE </w:instrText>
                    </w:r>
                    <w:r>
                      <w:fldChar w:fldCharType="separate"/>
                    </w:r>
                    <w:r>
                      <w:rPr>
                        <w:rStyle w:val="5"/>
                      </w:rP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3FAAE"/>
    <w:multiLevelType w:val="singleLevel"/>
    <w:tmpl w:val="5313FAA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03075"/>
    <w:rsid w:val="01CB6055"/>
    <w:rsid w:val="02B4398E"/>
    <w:rsid w:val="03150BF5"/>
    <w:rsid w:val="0541320D"/>
    <w:rsid w:val="06E40B5A"/>
    <w:rsid w:val="0C766ED6"/>
    <w:rsid w:val="0CAA0A43"/>
    <w:rsid w:val="0D742748"/>
    <w:rsid w:val="10CE7BB8"/>
    <w:rsid w:val="119E6AC3"/>
    <w:rsid w:val="14227CF3"/>
    <w:rsid w:val="15033BD4"/>
    <w:rsid w:val="15CD6CB7"/>
    <w:rsid w:val="16CD07F0"/>
    <w:rsid w:val="17BF5EB4"/>
    <w:rsid w:val="18A1419F"/>
    <w:rsid w:val="1ADA5ABE"/>
    <w:rsid w:val="1DC91C44"/>
    <w:rsid w:val="2091469D"/>
    <w:rsid w:val="20EC3C4A"/>
    <w:rsid w:val="21942A47"/>
    <w:rsid w:val="21C914B5"/>
    <w:rsid w:val="22C67E46"/>
    <w:rsid w:val="248B37D1"/>
    <w:rsid w:val="26F10B21"/>
    <w:rsid w:val="280366B3"/>
    <w:rsid w:val="288B2709"/>
    <w:rsid w:val="28EB2556"/>
    <w:rsid w:val="290D7DC9"/>
    <w:rsid w:val="2993618D"/>
    <w:rsid w:val="2A786FFE"/>
    <w:rsid w:val="2CAD14E6"/>
    <w:rsid w:val="2DC67404"/>
    <w:rsid w:val="2E1B7279"/>
    <w:rsid w:val="31916AFC"/>
    <w:rsid w:val="348E7FA8"/>
    <w:rsid w:val="35E56DCA"/>
    <w:rsid w:val="367829E6"/>
    <w:rsid w:val="369962C1"/>
    <w:rsid w:val="3B835026"/>
    <w:rsid w:val="3B9A0F9A"/>
    <w:rsid w:val="3BDA5C6B"/>
    <w:rsid w:val="3BDD303C"/>
    <w:rsid w:val="3D052497"/>
    <w:rsid w:val="3DF5315C"/>
    <w:rsid w:val="3E5621A6"/>
    <w:rsid w:val="3E71670A"/>
    <w:rsid w:val="3EB9238D"/>
    <w:rsid w:val="3F630900"/>
    <w:rsid w:val="40D05C5F"/>
    <w:rsid w:val="42485950"/>
    <w:rsid w:val="447962CA"/>
    <w:rsid w:val="447E77A2"/>
    <w:rsid w:val="44CB4404"/>
    <w:rsid w:val="45DB61B0"/>
    <w:rsid w:val="48A86A7C"/>
    <w:rsid w:val="48BA654E"/>
    <w:rsid w:val="49CF79F8"/>
    <w:rsid w:val="49D24521"/>
    <w:rsid w:val="49E46548"/>
    <w:rsid w:val="4B677595"/>
    <w:rsid w:val="4D3918ED"/>
    <w:rsid w:val="4F4B1A2F"/>
    <w:rsid w:val="4F8D5881"/>
    <w:rsid w:val="54185D74"/>
    <w:rsid w:val="550C6ED3"/>
    <w:rsid w:val="55F237A3"/>
    <w:rsid w:val="57880A43"/>
    <w:rsid w:val="58C21940"/>
    <w:rsid w:val="59E81579"/>
    <w:rsid w:val="5BDF4CF5"/>
    <w:rsid w:val="5C946CE2"/>
    <w:rsid w:val="5CB50E6F"/>
    <w:rsid w:val="5D8A3DDB"/>
    <w:rsid w:val="5DA11F2A"/>
    <w:rsid w:val="5E07636E"/>
    <w:rsid w:val="5F1C3EEE"/>
    <w:rsid w:val="60BB4A0E"/>
    <w:rsid w:val="61842D85"/>
    <w:rsid w:val="62E450BC"/>
    <w:rsid w:val="64DB2ED4"/>
    <w:rsid w:val="66724F34"/>
    <w:rsid w:val="676646A5"/>
    <w:rsid w:val="6BE76960"/>
    <w:rsid w:val="6D2F4236"/>
    <w:rsid w:val="6D535020"/>
    <w:rsid w:val="6DDF4AEC"/>
    <w:rsid w:val="6E35153D"/>
    <w:rsid w:val="6E3C0CBC"/>
    <w:rsid w:val="6EAD2100"/>
    <w:rsid w:val="6F0A4173"/>
    <w:rsid w:val="6F552B61"/>
    <w:rsid w:val="70673BEB"/>
    <w:rsid w:val="706A446C"/>
    <w:rsid w:val="70AC4DD5"/>
    <w:rsid w:val="71D03075"/>
    <w:rsid w:val="73BA516B"/>
    <w:rsid w:val="7634715E"/>
    <w:rsid w:val="764D4493"/>
    <w:rsid w:val="779F7431"/>
    <w:rsid w:val="785A315A"/>
    <w:rsid w:val="79A330A1"/>
    <w:rsid w:val="7B37037B"/>
    <w:rsid w:val="7BC41A1D"/>
    <w:rsid w:val="7D902BD4"/>
    <w:rsid w:val="7F611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ong\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169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2018-09-06T14:13:00Z</dcterms:created>
  <dc:creator>水晶蓝贝</dc:creator>
  <cp:lastModifiedBy>水晶蓝贝</cp:lastModifiedBy>
  <cp:lastPrinted>2019-11-15T02:24:00Z</cp:lastPrinted>
  <dcterms:modified xsi:type="dcterms:W3CDTF">2020-02-04T03:02:17Z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