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b/>
          <w:sz w:val="44"/>
          <w:szCs w:val="44"/>
        </w:rPr>
      </w:pPr>
      <w:r>
        <w:rPr>
          <w:rFonts w:hint="eastAsia"/>
          <w:b/>
          <w:sz w:val="44"/>
          <w:szCs w:val="44"/>
        </w:rPr>
        <w:t>太仓市人民政府</w:t>
      </w:r>
    </w:p>
    <w:p>
      <w:pPr>
        <w:spacing w:line="560" w:lineRule="exact"/>
        <w:rPr>
          <w:rFonts w:eastAsia="黑体"/>
          <w:sz w:val="44"/>
          <w:u w:val="thick"/>
        </w:rPr>
      </w:pPr>
      <w:r>
        <w:rPr>
          <w:rFonts w:eastAsia="黑体"/>
          <w:sz w:val="44"/>
          <w:u w:val="thick"/>
        </w:rPr>
        <w:t xml:space="preserve">                                      </w:t>
      </w:r>
    </w:p>
    <w:p>
      <w:pPr>
        <w:spacing w:line="560" w:lineRule="exact"/>
        <w:jc w:val="center"/>
        <w:rPr>
          <w:rFonts w:ascii="宋体"/>
          <w:b/>
          <w:bCs/>
          <w:sz w:val="36"/>
          <w:szCs w:val="36"/>
        </w:rPr>
      </w:pPr>
    </w:p>
    <w:p>
      <w:pPr>
        <w:spacing w:line="560" w:lineRule="exact"/>
        <w:jc w:val="center"/>
        <w:rPr>
          <w:rFonts w:ascii="宋体"/>
          <w:b/>
          <w:bCs/>
          <w:sz w:val="52"/>
          <w:szCs w:val="52"/>
        </w:rPr>
      </w:pPr>
      <w:r>
        <w:rPr>
          <w:rFonts w:hint="eastAsia" w:ascii="宋体" w:hAnsi="宋体"/>
          <w:b/>
          <w:bCs/>
          <w:sz w:val="52"/>
          <w:szCs w:val="52"/>
        </w:rPr>
        <w:t>行政复议决定书</w:t>
      </w:r>
    </w:p>
    <w:p>
      <w:pPr>
        <w:spacing w:line="560" w:lineRule="exact"/>
        <w:jc w:val="right"/>
        <w:rPr>
          <w:rFonts w:ascii="仿宋_GB2312" w:hAnsi="宋体" w:eastAsia="仿宋_GB2312"/>
          <w:bCs/>
          <w:sz w:val="32"/>
          <w:szCs w:val="32"/>
        </w:rPr>
      </w:pPr>
    </w:p>
    <w:p>
      <w:pPr>
        <w:topLinePunct/>
        <w:spacing w:line="580" w:lineRule="exact"/>
        <w:ind w:firstLine="4800" w:firstLineChars="1500"/>
        <w:rPr>
          <w:rFonts w:ascii="仿宋" w:hAnsi="仿宋" w:eastAsia="仿宋"/>
          <w:bCs/>
          <w:kern w:val="32"/>
          <w:sz w:val="32"/>
          <w:szCs w:val="32"/>
        </w:rPr>
      </w:pPr>
      <w:r>
        <w:rPr>
          <w:rFonts w:hint="eastAsia" w:ascii="仿宋" w:hAnsi="仿宋" w:eastAsia="仿宋"/>
          <w:bCs/>
          <w:kern w:val="32"/>
          <w:sz w:val="32"/>
          <w:szCs w:val="32"/>
        </w:rPr>
        <w:t>〔</w:t>
      </w:r>
      <w:r>
        <w:rPr>
          <w:rFonts w:ascii="仿宋" w:hAnsi="仿宋" w:eastAsia="仿宋"/>
          <w:bCs/>
          <w:kern w:val="32"/>
          <w:sz w:val="32"/>
          <w:szCs w:val="32"/>
        </w:rPr>
        <w:t>2019</w:t>
      </w:r>
      <w:r>
        <w:rPr>
          <w:rFonts w:hint="eastAsia" w:ascii="仿宋" w:hAnsi="仿宋" w:eastAsia="仿宋"/>
          <w:bCs/>
          <w:kern w:val="32"/>
          <w:sz w:val="32"/>
          <w:szCs w:val="32"/>
        </w:rPr>
        <w:t>〕太府行复第</w:t>
      </w:r>
      <w:r>
        <w:rPr>
          <w:rFonts w:ascii="仿宋" w:hAnsi="仿宋" w:eastAsia="仿宋"/>
          <w:bCs/>
          <w:kern w:val="32"/>
          <w:sz w:val="32"/>
          <w:szCs w:val="32"/>
        </w:rPr>
        <w:t>15</w:t>
      </w:r>
      <w:r>
        <w:rPr>
          <w:rFonts w:hint="eastAsia" w:ascii="仿宋" w:hAnsi="仿宋" w:eastAsia="仿宋"/>
          <w:bCs/>
          <w:kern w:val="32"/>
          <w:sz w:val="32"/>
          <w:szCs w:val="32"/>
        </w:rPr>
        <w:t>号</w:t>
      </w:r>
    </w:p>
    <w:p>
      <w:pPr>
        <w:topLinePunct/>
        <w:spacing w:line="580" w:lineRule="exact"/>
        <w:ind w:firstLine="4800" w:firstLineChars="1500"/>
        <w:rPr>
          <w:rFonts w:ascii="仿宋" w:hAnsi="仿宋" w:eastAsia="仿宋"/>
          <w:bCs/>
          <w:kern w:val="32"/>
          <w:sz w:val="32"/>
          <w:szCs w:val="32"/>
        </w:rPr>
      </w:pPr>
    </w:p>
    <w:p>
      <w:pPr>
        <w:wordWrap w:val="0"/>
        <w:topLinePunct/>
        <w:spacing w:line="580" w:lineRule="exact"/>
        <w:ind w:firstLine="640" w:firstLineChars="200"/>
        <w:rPr>
          <w:rFonts w:ascii="仿宋" w:hAnsi="仿宋" w:eastAsia="仿宋"/>
          <w:bCs/>
          <w:kern w:val="32"/>
          <w:sz w:val="32"/>
          <w:szCs w:val="32"/>
        </w:rPr>
      </w:pPr>
      <w:r>
        <w:rPr>
          <w:rFonts w:hint="eastAsia" w:ascii="仿宋" w:hAnsi="仿宋" w:eastAsia="仿宋"/>
          <w:bCs/>
          <w:kern w:val="32"/>
          <w:sz w:val="32"/>
          <w:szCs w:val="32"/>
        </w:rPr>
        <w:t>申请人：严</w:t>
      </w:r>
      <w:r>
        <w:rPr>
          <w:rFonts w:hint="eastAsia" w:ascii="仿宋" w:hAnsi="仿宋" w:eastAsia="仿宋"/>
          <w:bCs/>
          <w:kern w:val="32"/>
          <w:sz w:val="32"/>
          <w:szCs w:val="32"/>
          <w:lang w:eastAsia="zh-CN"/>
        </w:rPr>
        <w:t>某某</w:t>
      </w:r>
      <w:r>
        <w:rPr>
          <w:rFonts w:hint="eastAsia" w:ascii="仿宋" w:hAnsi="仿宋" w:eastAsia="仿宋"/>
          <w:bCs/>
          <w:kern w:val="32"/>
          <w:sz w:val="32"/>
          <w:szCs w:val="32"/>
        </w:rPr>
        <w:t>。</w:t>
      </w:r>
    </w:p>
    <w:p>
      <w:pPr>
        <w:topLinePunct/>
        <w:spacing w:line="580" w:lineRule="exact"/>
        <w:ind w:firstLine="640" w:firstLineChars="200"/>
        <w:rPr>
          <w:rFonts w:ascii="仿宋" w:hAnsi="仿宋" w:eastAsia="仿宋"/>
          <w:bCs/>
          <w:kern w:val="32"/>
          <w:sz w:val="32"/>
          <w:szCs w:val="32"/>
        </w:rPr>
      </w:pPr>
      <w:r>
        <w:rPr>
          <w:rFonts w:hint="eastAsia" w:ascii="仿宋" w:hAnsi="仿宋" w:eastAsia="仿宋"/>
          <w:bCs/>
          <w:kern w:val="32"/>
          <w:sz w:val="32"/>
          <w:szCs w:val="32"/>
        </w:rPr>
        <w:t>被申请人：太仓市自然资源和规划局。</w:t>
      </w:r>
    </w:p>
    <w:p>
      <w:pPr>
        <w:topLinePunct/>
        <w:spacing w:line="580" w:lineRule="exact"/>
        <w:ind w:firstLine="640" w:firstLineChars="200"/>
        <w:rPr>
          <w:rFonts w:ascii="仿宋" w:hAnsi="仿宋" w:eastAsia="仿宋"/>
          <w:bCs/>
          <w:kern w:val="32"/>
          <w:sz w:val="32"/>
          <w:szCs w:val="32"/>
        </w:rPr>
      </w:pPr>
      <w:r>
        <w:rPr>
          <w:rFonts w:hint="eastAsia" w:ascii="仿宋" w:hAnsi="仿宋" w:eastAsia="仿宋"/>
          <w:bCs/>
          <w:kern w:val="32"/>
          <w:sz w:val="32"/>
          <w:szCs w:val="32"/>
        </w:rPr>
        <w:t>申请人对被申请人太仓市住房和城乡建设局的城乡规划管理不服，于</w:t>
      </w:r>
      <w:r>
        <w:rPr>
          <w:rFonts w:ascii="仿宋" w:hAnsi="仿宋" w:eastAsia="仿宋"/>
          <w:bCs/>
          <w:kern w:val="32"/>
          <w:sz w:val="32"/>
          <w:szCs w:val="32"/>
        </w:rPr>
        <w:t>2019</w:t>
      </w:r>
      <w:r>
        <w:rPr>
          <w:rFonts w:hint="eastAsia" w:ascii="仿宋" w:hAnsi="仿宋" w:eastAsia="仿宋"/>
          <w:bCs/>
          <w:kern w:val="32"/>
          <w:sz w:val="32"/>
          <w:szCs w:val="32"/>
        </w:rPr>
        <w:t>年</w:t>
      </w:r>
      <w:r>
        <w:rPr>
          <w:rFonts w:ascii="仿宋" w:hAnsi="仿宋" w:eastAsia="仿宋"/>
          <w:bCs/>
          <w:kern w:val="32"/>
          <w:sz w:val="32"/>
          <w:szCs w:val="32"/>
        </w:rPr>
        <w:t>2</w:t>
      </w:r>
      <w:r>
        <w:rPr>
          <w:rFonts w:hint="eastAsia" w:ascii="仿宋" w:hAnsi="仿宋" w:eastAsia="仿宋"/>
          <w:bCs/>
          <w:kern w:val="32"/>
          <w:sz w:val="32"/>
          <w:szCs w:val="32"/>
        </w:rPr>
        <w:t>月</w:t>
      </w:r>
      <w:r>
        <w:rPr>
          <w:rFonts w:ascii="仿宋" w:hAnsi="仿宋" w:eastAsia="仿宋"/>
          <w:bCs/>
          <w:kern w:val="32"/>
          <w:sz w:val="32"/>
          <w:szCs w:val="32"/>
        </w:rPr>
        <w:t>19</w:t>
      </w:r>
      <w:r>
        <w:rPr>
          <w:rFonts w:hint="eastAsia" w:ascii="仿宋" w:hAnsi="仿宋" w:eastAsia="仿宋"/>
          <w:bCs/>
          <w:kern w:val="32"/>
          <w:sz w:val="32"/>
          <w:szCs w:val="32"/>
        </w:rPr>
        <w:t>日向本机关申请行政复议，</w:t>
      </w:r>
      <w:r>
        <w:rPr>
          <w:rFonts w:ascii="仿宋" w:hAnsi="仿宋" w:eastAsia="仿宋"/>
          <w:bCs/>
          <w:kern w:val="32"/>
          <w:sz w:val="32"/>
          <w:szCs w:val="32"/>
        </w:rPr>
        <w:t>2</w:t>
      </w:r>
      <w:r>
        <w:rPr>
          <w:rFonts w:hint="eastAsia" w:ascii="仿宋" w:hAnsi="仿宋" w:eastAsia="仿宋"/>
          <w:bCs/>
          <w:kern w:val="32"/>
          <w:sz w:val="32"/>
          <w:szCs w:val="32"/>
        </w:rPr>
        <w:t>月</w:t>
      </w:r>
      <w:r>
        <w:rPr>
          <w:rFonts w:ascii="仿宋" w:hAnsi="仿宋" w:eastAsia="仿宋"/>
          <w:bCs/>
          <w:kern w:val="32"/>
          <w:sz w:val="32"/>
          <w:szCs w:val="32"/>
        </w:rPr>
        <w:t>27</w:t>
      </w:r>
      <w:r>
        <w:rPr>
          <w:rFonts w:hint="eastAsia" w:ascii="仿宋" w:hAnsi="仿宋" w:eastAsia="仿宋"/>
          <w:bCs/>
          <w:kern w:val="32"/>
          <w:sz w:val="32"/>
          <w:szCs w:val="32"/>
        </w:rPr>
        <w:t>日提交补正材料，本机关依法予以受理。</w:t>
      </w:r>
      <w:r>
        <w:rPr>
          <w:rFonts w:hint="eastAsia" w:ascii="仿宋" w:hAnsi="仿宋_GB2312" w:eastAsia="仿宋" w:cs="仿宋_GB2312"/>
          <w:kern w:val="32"/>
          <w:sz w:val="32"/>
          <w:szCs w:val="32"/>
        </w:rPr>
        <w:t>因机构改革，</w:t>
      </w:r>
      <w:r>
        <w:rPr>
          <w:rFonts w:hint="eastAsia" w:ascii="仿宋" w:hAnsi="仿宋" w:eastAsia="仿宋"/>
          <w:bCs/>
          <w:kern w:val="32"/>
          <w:sz w:val="32"/>
          <w:szCs w:val="32"/>
        </w:rPr>
        <w:t>太仓市住房和城乡建设局的城乡规划管理职责划入太仓市自然资源和规划局，本机关依法将被申请人变更为太仓市自然资源和规划局。现已审理终结。</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申请人请求：对雅鹿臻园联排别墅</w:t>
      </w:r>
      <w:r>
        <w:rPr>
          <w:rFonts w:hint="eastAsia" w:ascii="仿宋" w:hAnsi="仿宋" w:eastAsia="仿宋"/>
          <w:bCs/>
          <w:kern w:val="32"/>
          <w:sz w:val="32"/>
          <w:szCs w:val="32"/>
          <w:lang w:val="en-US" w:eastAsia="zh-CN"/>
        </w:rPr>
        <w:t>XX</w:t>
      </w:r>
      <w:r>
        <w:rPr>
          <w:rFonts w:hint="eastAsia" w:ascii="仿宋" w:hAnsi="仿宋" w:eastAsia="仿宋"/>
          <w:bCs/>
          <w:kern w:val="32"/>
          <w:sz w:val="32"/>
          <w:szCs w:val="32"/>
        </w:rPr>
        <w:t>幢</w:t>
      </w:r>
      <w:r>
        <w:rPr>
          <w:rFonts w:hint="eastAsia" w:ascii="仿宋" w:hAnsi="仿宋" w:eastAsia="仿宋"/>
          <w:bCs/>
          <w:kern w:val="32"/>
          <w:sz w:val="32"/>
          <w:szCs w:val="32"/>
          <w:lang w:val="en-US" w:eastAsia="zh-CN"/>
        </w:rPr>
        <w:t>XX</w:t>
      </w:r>
      <w:r>
        <w:rPr>
          <w:rFonts w:hint="eastAsia" w:ascii="仿宋" w:hAnsi="仿宋" w:eastAsia="仿宋"/>
          <w:bCs/>
          <w:kern w:val="32"/>
          <w:sz w:val="32"/>
          <w:szCs w:val="32"/>
        </w:rPr>
        <w:t>室拟搭建的建筑物的违法行为认定书</w:t>
      </w:r>
      <w:r>
        <w:rPr>
          <w:rFonts w:hint="eastAsia" w:ascii="仿宋" w:hAnsi="仿宋" w:eastAsia="仿宋"/>
          <w:bCs/>
          <w:kern w:val="32"/>
          <w:sz w:val="32"/>
          <w:szCs w:val="32"/>
        </w:rPr>
        <w:t>（文书编号：1900085</w:t>
      </w:r>
      <w:r>
        <w:rPr>
          <w:rFonts w:hint="eastAsia" w:ascii="仿宋" w:hAnsi="仿宋" w:eastAsia="仿宋"/>
          <w:bCs/>
          <w:kern w:val="32"/>
          <w:sz w:val="32"/>
          <w:szCs w:val="32"/>
        </w:rPr>
        <w:t>）给予撤销处理</w:t>
      </w:r>
      <w:r>
        <w:rPr>
          <w:rFonts w:hint="eastAsia" w:ascii="仿宋" w:hAnsi="仿宋" w:eastAsia="仿宋"/>
          <w:bCs/>
          <w:kern w:val="32"/>
          <w:sz w:val="32"/>
          <w:szCs w:val="32"/>
        </w:rPr>
        <w:t>。</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申请人称：申请人于20l7年11月30日开始委托太仓市大拇指装修公司对我家雅鹿臻园联排别墅</w:t>
      </w:r>
      <w:r>
        <w:rPr>
          <w:rFonts w:hint="eastAsia" w:ascii="仿宋" w:hAnsi="仿宋" w:eastAsia="仿宋"/>
          <w:bCs/>
          <w:kern w:val="32"/>
          <w:sz w:val="32"/>
          <w:szCs w:val="32"/>
          <w:lang w:val="en-US" w:eastAsia="zh-CN"/>
        </w:rPr>
        <w:t>XX</w:t>
      </w:r>
      <w:r>
        <w:rPr>
          <w:rFonts w:hint="eastAsia" w:ascii="仿宋" w:hAnsi="仿宋" w:eastAsia="仿宋"/>
          <w:bCs/>
          <w:kern w:val="32"/>
          <w:sz w:val="32"/>
          <w:szCs w:val="32"/>
        </w:rPr>
        <w:t>幢</w:t>
      </w:r>
      <w:r>
        <w:rPr>
          <w:rFonts w:hint="eastAsia" w:ascii="仿宋" w:hAnsi="仿宋" w:eastAsia="仿宋"/>
          <w:bCs/>
          <w:kern w:val="32"/>
          <w:sz w:val="32"/>
          <w:szCs w:val="32"/>
          <w:lang w:val="en-US" w:eastAsia="zh-CN"/>
        </w:rPr>
        <w:t>XX</w:t>
      </w:r>
      <w:r>
        <w:rPr>
          <w:rFonts w:hint="eastAsia" w:ascii="仿宋" w:hAnsi="仿宋" w:eastAsia="仿宋"/>
          <w:bCs/>
          <w:kern w:val="32"/>
          <w:sz w:val="32"/>
          <w:szCs w:val="32"/>
        </w:rPr>
        <w:t xml:space="preserve">室进行装修，并于2018年4月向雅鹿臻园别墅所在主管管理政策的太仓市高新区城管中队进行询问别墅外围露台装修政策，他们回复是露台不可以现浇，可以搭建铝合金型材的阳光房，并对我们业主支持他们的工作表示感谢。2018年5月份，和其他的雅鹿臻园联排别墅的业主们到太仓市信访办反应别墅装修露台的问题，当时到场的还有太仓市城管局、住建局的领导、雅鹿臻园开发商代表，当时领导们也是同意别墅外围露台上可搭建阳光房不可以现浇。按照这个要求，我家别墅于2018年9月前装修竣工，南北二楼、三楼的露台全部用铝合金搭建。可是到了2019年1月24日，太仓市高新区城管中队通知我，我家二楼、三楼南面露台所搭建的铝合金阳台属于违建，我于2019年1月28日，2月14日两次到高新区城管中队询问情况，问他们当初2018年的时候，不是同意可以在露台上搭建阳光房的，现在到了2019年怎么就不可以呢，他们回复是2018年的时候，领导是同意可以在别墅外面露台上搭建阳光房的，现在是2019年了，政策变了，就不可以了，你家别墅南面二楼和三楼的露台上所搭建的阳光房现在是属于违建，有什么问题可以向有关部门反应，他们只是基层执法者，执行领导的命令，为此本人现在要求对此认定进行行政复议申请。我家别墅在2018年9月之前已经全部装修完成，外围的露台所搭建的阳光房全部在房产证的红线之内，没有超出规定的范围，更没有占用公共区域。现让我拆除，造成这样很大损失，该如何解决。 </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申请人提供的证据材料有：</w:t>
      </w:r>
    </w:p>
    <w:p>
      <w:pPr>
        <w:topLinePunct/>
        <w:spacing w:line="580" w:lineRule="exact"/>
        <w:ind w:firstLine="640" w:firstLineChars="200"/>
        <w:rPr>
          <w:rFonts w:ascii="仿宋" w:hAnsi="仿宋" w:eastAsia="仿宋" w:cs="Arial"/>
          <w:kern w:val="32"/>
          <w:sz w:val="32"/>
          <w:szCs w:val="32"/>
        </w:rPr>
      </w:pPr>
      <w:r>
        <w:rPr>
          <w:rFonts w:ascii="仿宋" w:hAnsi="仿宋" w:eastAsia="仿宋" w:cs="Arial"/>
          <w:kern w:val="32"/>
          <w:sz w:val="32"/>
          <w:szCs w:val="32"/>
        </w:rPr>
        <w:t>1</w:t>
      </w:r>
      <w:r>
        <w:rPr>
          <w:rFonts w:hint="eastAsia" w:ascii="仿宋" w:hAnsi="仿宋" w:eastAsia="仿宋" w:cs="Arial"/>
          <w:kern w:val="32"/>
          <w:sz w:val="32"/>
          <w:szCs w:val="32"/>
        </w:rPr>
        <w:t>、在建建设规划认定书；</w:t>
      </w:r>
    </w:p>
    <w:p>
      <w:pPr>
        <w:topLinePunct/>
        <w:spacing w:line="580" w:lineRule="exact"/>
        <w:ind w:firstLine="640" w:firstLineChars="200"/>
        <w:rPr>
          <w:rFonts w:ascii="仿宋" w:hAnsi="仿宋" w:eastAsia="仿宋" w:cs="仿宋"/>
          <w:kern w:val="32"/>
          <w:sz w:val="32"/>
          <w:szCs w:val="32"/>
        </w:rPr>
      </w:pPr>
      <w:r>
        <w:rPr>
          <w:rFonts w:ascii="仿宋" w:hAnsi="仿宋" w:eastAsia="仿宋" w:cs="仿宋"/>
          <w:kern w:val="32"/>
          <w:sz w:val="32"/>
          <w:szCs w:val="32"/>
        </w:rPr>
        <w:t>2</w:t>
      </w:r>
      <w:r>
        <w:rPr>
          <w:rFonts w:hint="eastAsia" w:ascii="仿宋" w:hAnsi="仿宋" w:eastAsia="仿宋" w:cs="仿宋"/>
          <w:kern w:val="32"/>
          <w:sz w:val="32"/>
          <w:szCs w:val="32"/>
        </w:rPr>
        <w:t>、责令改正通知书；</w:t>
      </w:r>
    </w:p>
    <w:p>
      <w:pPr>
        <w:topLinePunct/>
        <w:spacing w:line="580" w:lineRule="exact"/>
        <w:ind w:firstLine="640" w:firstLineChars="200"/>
        <w:rPr>
          <w:rFonts w:ascii="仿宋" w:hAnsi="仿宋" w:eastAsia="仿宋" w:cs="仿宋"/>
          <w:kern w:val="32"/>
          <w:sz w:val="32"/>
          <w:szCs w:val="32"/>
        </w:rPr>
      </w:pPr>
      <w:r>
        <w:rPr>
          <w:rFonts w:ascii="仿宋" w:hAnsi="仿宋" w:eastAsia="仿宋" w:cs="仿宋"/>
          <w:kern w:val="32"/>
          <w:sz w:val="32"/>
          <w:szCs w:val="32"/>
        </w:rPr>
        <w:t>3</w:t>
      </w:r>
      <w:r>
        <w:rPr>
          <w:rFonts w:hint="eastAsia" w:ascii="仿宋" w:hAnsi="仿宋" w:eastAsia="仿宋" w:cs="仿宋"/>
          <w:kern w:val="32"/>
          <w:sz w:val="32"/>
          <w:szCs w:val="32"/>
        </w:rPr>
        <w:t>、装修材料证明；</w:t>
      </w:r>
    </w:p>
    <w:p>
      <w:pPr>
        <w:topLinePunct/>
        <w:spacing w:line="580" w:lineRule="exact"/>
        <w:ind w:firstLine="640" w:firstLineChars="200"/>
        <w:rPr>
          <w:rFonts w:ascii="仿宋" w:hAnsi="仿宋" w:eastAsia="仿宋" w:cs="仿宋"/>
          <w:kern w:val="32"/>
          <w:sz w:val="32"/>
          <w:szCs w:val="32"/>
        </w:rPr>
      </w:pPr>
      <w:r>
        <w:rPr>
          <w:rFonts w:ascii="仿宋" w:hAnsi="仿宋" w:eastAsia="仿宋" w:cs="仿宋"/>
          <w:kern w:val="32"/>
          <w:sz w:val="32"/>
          <w:szCs w:val="32"/>
        </w:rPr>
        <w:t>4</w:t>
      </w:r>
      <w:r>
        <w:rPr>
          <w:rFonts w:hint="eastAsia" w:ascii="仿宋" w:hAnsi="仿宋" w:eastAsia="仿宋" w:cs="仿宋"/>
          <w:kern w:val="32"/>
          <w:sz w:val="32"/>
          <w:szCs w:val="32"/>
        </w:rPr>
        <w:t>、装修合同。</w:t>
      </w:r>
    </w:p>
    <w:p>
      <w:pPr>
        <w:pStyle w:val="10"/>
        <w:topLinePunct/>
        <w:autoSpaceDE/>
        <w:autoSpaceDN/>
        <w:adjustRightInd/>
        <w:spacing w:line="580" w:lineRule="exact"/>
        <w:ind w:firstLine="656" w:firstLineChars="205"/>
        <w:jc w:val="both"/>
        <w:rPr>
          <w:rFonts w:ascii="仿宋" w:hAnsi="仿宋_GB2312" w:eastAsia="仿宋" w:cs="仿宋_GB2312"/>
          <w:kern w:val="32"/>
          <w:sz w:val="32"/>
          <w:szCs w:val="32"/>
        </w:rPr>
      </w:pPr>
      <w:r>
        <w:rPr>
          <w:rFonts w:hint="eastAsia" w:ascii="仿宋" w:hAnsi="仿宋" w:eastAsia="仿宋"/>
          <w:bCs/>
          <w:kern w:val="32"/>
          <w:sz w:val="32"/>
          <w:szCs w:val="32"/>
        </w:rPr>
        <w:t>被申请人答复称：一、被申请人作出的认定书是合理合法的，不存在应予撤销的情形。</w:t>
      </w:r>
      <w:r>
        <w:rPr>
          <w:rFonts w:hint="eastAsia" w:ascii="仿宋" w:hAnsi="仿宋" w:eastAsia="仿宋" w:cs="Arial"/>
          <w:kern w:val="32"/>
          <w:sz w:val="32"/>
          <w:szCs w:val="32"/>
        </w:rPr>
        <w:t>根据《城乡规划法》第四十条之规定，申请人搭建建筑物、构筑物应当取得城市规划主管部门的许可文件，但经查询，申请人搭建案涉建筑物确实未至被申请人处办理相关规划手续，被申请人的认定书内容表述是合理合法的，不存在应予撤销的情形。二、案涉认定书不具有强制执行力，对申请人的权利义务不产生实际影响。案涉《认定书》仅是对申请人搭建建筑物是否至被申请人处办理规划手续的说明，不具有强制执行力，对申请人的权利义务并不产生实际影响。申请人的行政复议申请于法无据，请求复议机关依法驳回申请人的行政复议申请。</w:t>
      </w:r>
    </w:p>
    <w:p>
      <w:pPr>
        <w:topLinePunct/>
        <w:spacing w:line="580" w:lineRule="exact"/>
        <w:ind w:firstLine="640" w:firstLineChars="200"/>
        <w:rPr>
          <w:rFonts w:ascii="仿宋" w:hAnsi="仿宋" w:eastAsia="仿宋"/>
          <w:bCs/>
          <w:kern w:val="32"/>
          <w:sz w:val="32"/>
          <w:szCs w:val="32"/>
        </w:rPr>
      </w:pPr>
      <w:r>
        <w:rPr>
          <w:rFonts w:hint="eastAsia" w:ascii="仿宋" w:hAnsi="仿宋" w:eastAsia="仿宋"/>
          <w:bCs/>
          <w:kern w:val="32"/>
          <w:sz w:val="32"/>
          <w:szCs w:val="32"/>
        </w:rPr>
        <w:t>被申请人提供的证据有：</w:t>
      </w:r>
    </w:p>
    <w:p>
      <w:pPr>
        <w:pStyle w:val="10"/>
        <w:topLinePunct/>
        <w:autoSpaceDE/>
        <w:autoSpaceDN/>
        <w:adjustRightInd/>
        <w:spacing w:line="580" w:lineRule="exact"/>
        <w:ind w:firstLine="656" w:firstLineChars="205"/>
        <w:jc w:val="both"/>
        <w:rPr>
          <w:rFonts w:ascii="仿宋" w:hAnsi="仿宋" w:eastAsia="仿宋" w:cs="Arial"/>
          <w:kern w:val="32"/>
          <w:sz w:val="32"/>
          <w:szCs w:val="32"/>
        </w:rPr>
      </w:pPr>
      <w:r>
        <w:rPr>
          <w:rFonts w:ascii="仿宋" w:hAnsi="仿宋" w:eastAsia="仿宋" w:cs="Arial"/>
          <w:kern w:val="32"/>
          <w:sz w:val="32"/>
          <w:szCs w:val="32"/>
        </w:rPr>
        <w:t>1</w:t>
      </w:r>
      <w:r>
        <w:rPr>
          <w:rFonts w:hint="eastAsia" w:ascii="仿宋" w:hAnsi="仿宋" w:eastAsia="仿宋" w:cs="Arial"/>
          <w:kern w:val="32"/>
          <w:sz w:val="32"/>
          <w:szCs w:val="32"/>
        </w:rPr>
        <w:t>、现场检查笔录及照片；</w:t>
      </w:r>
    </w:p>
    <w:p>
      <w:pPr>
        <w:pStyle w:val="10"/>
        <w:topLinePunct/>
        <w:autoSpaceDE/>
        <w:autoSpaceDN/>
        <w:adjustRightInd/>
        <w:spacing w:line="580" w:lineRule="exact"/>
        <w:ind w:firstLine="656" w:firstLineChars="205"/>
        <w:jc w:val="both"/>
        <w:rPr>
          <w:rFonts w:ascii="仿宋" w:hAnsi="仿宋" w:eastAsia="仿宋" w:cs="Arial"/>
          <w:kern w:val="32"/>
          <w:sz w:val="32"/>
          <w:szCs w:val="32"/>
        </w:rPr>
      </w:pPr>
      <w:r>
        <w:rPr>
          <w:rFonts w:ascii="仿宋" w:hAnsi="仿宋" w:eastAsia="仿宋" w:cs="Arial"/>
          <w:kern w:val="32"/>
          <w:sz w:val="32"/>
          <w:szCs w:val="32"/>
        </w:rPr>
        <w:t>2</w:t>
      </w:r>
      <w:r>
        <w:rPr>
          <w:rFonts w:hint="eastAsia" w:ascii="仿宋" w:hAnsi="仿宋" w:eastAsia="仿宋" w:cs="Arial"/>
          <w:kern w:val="32"/>
          <w:sz w:val="32"/>
          <w:szCs w:val="32"/>
        </w:rPr>
        <w:t>、停工</w:t>
      </w:r>
      <w:r>
        <w:rPr>
          <w:rFonts w:ascii="仿宋" w:hAnsi="仿宋" w:eastAsia="仿宋" w:cs="Arial"/>
          <w:kern w:val="32"/>
          <w:sz w:val="32"/>
          <w:szCs w:val="32"/>
        </w:rPr>
        <w:t>(</w:t>
      </w:r>
      <w:r>
        <w:rPr>
          <w:rFonts w:hint="eastAsia" w:ascii="仿宋" w:hAnsi="仿宋" w:eastAsia="仿宋" w:cs="Arial"/>
          <w:kern w:val="32"/>
          <w:sz w:val="32"/>
          <w:szCs w:val="32"/>
        </w:rPr>
        <w:t>核查</w:t>
      </w:r>
      <w:r>
        <w:rPr>
          <w:rFonts w:ascii="仿宋" w:hAnsi="仿宋" w:eastAsia="仿宋" w:cs="Arial"/>
          <w:kern w:val="32"/>
          <w:sz w:val="32"/>
          <w:szCs w:val="32"/>
        </w:rPr>
        <w:t>)</w:t>
      </w:r>
      <w:r>
        <w:rPr>
          <w:rFonts w:hint="eastAsia" w:ascii="仿宋" w:hAnsi="仿宋" w:eastAsia="仿宋" w:cs="Arial"/>
          <w:kern w:val="32"/>
          <w:sz w:val="32"/>
          <w:szCs w:val="32"/>
        </w:rPr>
        <w:t>通知书及送达回证；</w:t>
      </w:r>
    </w:p>
    <w:p>
      <w:pPr>
        <w:pStyle w:val="10"/>
        <w:topLinePunct/>
        <w:autoSpaceDE/>
        <w:autoSpaceDN/>
        <w:adjustRightInd/>
        <w:spacing w:line="580" w:lineRule="exact"/>
        <w:ind w:firstLine="656" w:firstLineChars="205"/>
        <w:jc w:val="both"/>
        <w:rPr>
          <w:rFonts w:ascii="仿宋" w:hAnsi="仿宋" w:eastAsia="仿宋" w:cs="Arial"/>
          <w:kern w:val="32"/>
          <w:sz w:val="32"/>
          <w:szCs w:val="32"/>
        </w:rPr>
      </w:pPr>
      <w:r>
        <w:rPr>
          <w:rFonts w:ascii="仿宋" w:hAnsi="仿宋" w:eastAsia="仿宋" w:cs="Arial"/>
          <w:kern w:val="32"/>
          <w:sz w:val="32"/>
          <w:szCs w:val="32"/>
        </w:rPr>
        <w:t>3</w:t>
      </w:r>
      <w:r>
        <w:rPr>
          <w:rFonts w:hint="eastAsia" w:ascii="仿宋" w:hAnsi="仿宋" w:eastAsia="仿宋" w:cs="Arial"/>
          <w:kern w:val="32"/>
          <w:sz w:val="32"/>
          <w:szCs w:val="32"/>
        </w:rPr>
        <w:t>、房屋权属登记信息查询结果证明、房屋分户平面图；</w:t>
      </w:r>
    </w:p>
    <w:p>
      <w:pPr>
        <w:pStyle w:val="10"/>
        <w:topLinePunct/>
        <w:autoSpaceDE/>
        <w:autoSpaceDN/>
        <w:adjustRightInd/>
        <w:spacing w:line="580" w:lineRule="exact"/>
        <w:ind w:firstLine="656" w:firstLineChars="205"/>
        <w:jc w:val="both"/>
        <w:rPr>
          <w:rFonts w:ascii="仿宋" w:hAnsi="仿宋" w:eastAsia="仿宋" w:cs="Arial"/>
          <w:kern w:val="32"/>
          <w:sz w:val="32"/>
          <w:szCs w:val="32"/>
        </w:rPr>
      </w:pPr>
      <w:r>
        <w:rPr>
          <w:rFonts w:ascii="仿宋" w:hAnsi="仿宋" w:eastAsia="仿宋" w:cs="Arial"/>
          <w:kern w:val="32"/>
          <w:sz w:val="32"/>
          <w:szCs w:val="32"/>
        </w:rPr>
        <w:t>4</w:t>
      </w:r>
      <w:r>
        <w:rPr>
          <w:rFonts w:hint="eastAsia" w:ascii="仿宋" w:hAnsi="仿宋" w:eastAsia="仿宋" w:cs="Arial"/>
          <w:kern w:val="32"/>
          <w:sz w:val="32"/>
          <w:szCs w:val="32"/>
        </w:rPr>
        <w:t>、在建建设规划认定书。</w:t>
      </w:r>
    </w:p>
    <w:p>
      <w:pPr>
        <w:topLinePunct/>
        <w:spacing w:line="580" w:lineRule="exact"/>
        <w:ind w:firstLine="640" w:firstLineChars="200"/>
        <w:rPr>
          <w:rFonts w:ascii="仿宋" w:eastAsia="仿宋"/>
          <w:kern w:val="32"/>
          <w:sz w:val="32"/>
        </w:rPr>
      </w:pPr>
      <w:r>
        <w:rPr>
          <w:rFonts w:hint="eastAsia" w:ascii="仿宋" w:hAnsi="仿宋" w:eastAsia="仿宋"/>
          <w:bCs/>
          <w:kern w:val="32"/>
          <w:sz w:val="32"/>
          <w:szCs w:val="32"/>
        </w:rPr>
        <w:t>经审理查明：申请人为雅鹿臻园</w:t>
      </w:r>
      <w:r>
        <w:rPr>
          <w:rFonts w:hint="eastAsia" w:ascii="仿宋" w:hAnsi="仿宋" w:eastAsia="仿宋"/>
          <w:bCs/>
          <w:kern w:val="32"/>
          <w:sz w:val="32"/>
          <w:szCs w:val="32"/>
          <w:lang w:val="en-US" w:eastAsia="zh-CN"/>
        </w:rPr>
        <w:t>XX</w:t>
      </w:r>
      <w:r>
        <w:rPr>
          <w:rFonts w:hint="eastAsia" w:ascii="仿宋" w:hAnsi="仿宋" w:eastAsia="仿宋"/>
          <w:bCs/>
          <w:kern w:val="32"/>
          <w:sz w:val="32"/>
          <w:szCs w:val="32"/>
        </w:rPr>
        <w:t>幢</w:t>
      </w:r>
      <w:r>
        <w:rPr>
          <w:rFonts w:hint="eastAsia" w:ascii="仿宋" w:hAnsi="仿宋" w:eastAsia="仿宋"/>
          <w:bCs/>
          <w:kern w:val="32"/>
          <w:sz w:val="32"/>
          <w:szCs w:val="32"/>
          <w:lang w:val="en-US" w:eastAsia="zh-CN"/>
        </w:rPr>
        <w:t>XX</w:t>
      </w:r>
      <w:r>
        <w:rPr>
          <w:rFonts w:hint="eastAsia" w:ascii="仿宋" w:hAnsi="仿宋" w:eastAsia="仿宋"/>
          <w:bCs/>
          <w:kern w:val="32"/>
          <w:sz w:val="32"/>
          <w:szCs w:val="32"/>
        </w:rPr>
        <w:t>室所有权人。</w:t>
      </w:r>
      <w:r>
        <w:rPr>
          <w:rFonts w:ascii="仿宋" w:hAnsi="仿宋" w:eastAsia="仿宋"/>
          <w:bCs/>
          <w:kern w:val="32"/>
          <w:sz w:val="32"/>
          <w:szCs w:val="32"/>
        </w:rPr>
        <w:t>2019</w:t>
      </w:r>
      <w:r>
        <w:rPr>
          <w:rFonts w:hint="eastAsia" w:ascii="仿宋" w:hAnsi="仿宋" w:eastAsia="仿宋"/>
          <w:bCs/>
          <w:kern w:val="32"/>
          <w:sz w:val="32"/>
          <w:szCs w:val="32"/>
        </w:rPr>
        <w:t>年</w:t>
      </w:r>
      <w:r>
        <w:rPr>
          <w:rFonts w:ascii="仿宋" w:hAnsi="仿宋" w:eastAsia="仿宋"/>
          <w:bCs/>
          <w:kern w:val="32"/>
          <w:sz w:val="32"/>
          <w:szCs w:val="32"/>
        </w:rPr>
        <w:t>1</w:t>
      </w:r>
      <w:r>
        <w:rPr>
          <w:rFonts w:hint="eastAsia" w:ascii="仿宋" w:hAnsi="仿宋" w:eastAsia="仿宋"/>
          <w:bCs/>
          <w:kern w:val="32"/>
          <w:sz w:val="32"/>
          <w:szCs w:val="32"/>
        </w:rPr>
        <w:t>月</w:t>
      </w:r>
      <w:r>
        <w:rPr>
          <w:rFonts w:ascii="仿宋" w:hAnsi="仿宋" w:eastAsia="仿宋"/>
          <w:bCs/>
          <w:kern w:val="32"/>
          <w:sz w:val="32"/>
          <w:szCs w:val="32"/>
        </w:rPr>
        <w:t>24</w:t>
      </w:r>
      <w:r>
        <w:rPr>
          <w:rFonts w:hint="eastAsia" w:ascii="仿宋" w:hAnsi="仿宋" w:eastAsia="仿宋"/>
          <w:bCs/>
          <w:kern w:val="32"/>
          <w:sz w:val="32"/>
          <w:szCs w:val="32"/>
        </w:rPr>
        <w:t>日，太仓市城市管理行政执法局执法人员在检查中发现，太仓市雅鹿臻园</w:t>
      </w:r>
      <w:r>
        <w:rPr>
          <w:rFonts w:hint="eastAsia" w:ascii="仿宋" w:hAnsi="仿宋" w:eastAsia="仿宋"/>
          <w:bCs/>
          <w:kern w:val="32"/>
          <w:sz w:val="32"/>
          <w:szCs w:val="32"/>
          <w:lang w:val="en-US" w:eastAsia="zh-CN"/>
        </w:rPr>
        <w:t>XX</w:t>
      </w:r>
      <w:r>
        <w:rPr>
          <w:rFonts w:hint="eastAsia" w:ascii="仿宋" w:hAnsi="仿宋" w:eastAsia="仿宋"/>
          <w:bCs/>
          <w:kern w:val="32"/>
          <w:sz w:val="32"/>
          <w:szCs w:val="32"/>
        </w:rPr>
        <w:t>幢</w:t>
      </w:r>
      <w:r>
        <w:rPr>
          <w:rFonts w:hint="eastAsia" w:ascii="仿宋" w:hAnsi="仿宋" w:eastAsia="仿宋"/>
          <w:bCs/>
          <w:kern w:val="32"/>
          <w:sz w:val="32"/>
          <w:szCs w:val="32"/>
          <w:lang w:val="en-US" w:eastAsia="zh-CN"/>
        </w:rPr>
        <w:t>XX</w:t>
      </w:r>
      <w:r>
        <w:rPr>
          <w:rFonts w:hint="eastAsia" w:ascii="仿宋" w:hAnsi="仿宋" w:eastAsia="仿宋"/>
          <w:bCs/>
          <w:kern w:val="32"/>
          <w:sz w:val="32"/>
          <w:szCs w:val="32"/>
        </w:rPr>
        <w:t>室二楼和三楼东南侧平台上，存在用铝合金、玻璃等材料进行搭建的情况，面积合计</w:t>
      </w:r>
      <w:r>
        <w:rPr>
          <w:rFonts w:ascii="仿宋" w:hAnsi="仿宋" w:eastAsia="仿宋"/>
          <w:bCs/>
          <w:kern w:val="32"/>
          <w:sz w:val="32"/>
          <w:szCs w:val="32"/>
        </w:rPr>
        <w:t>20.4</w:t>
      </w:r>
      <w:r>
        <w:rPr>
          <w:rFonts w:hint="eastAsia" w:ascii="仿宋" w:hAnsi="仿宋" w:eastAsia="仿宋"/>
          <w:bCs/>
          <w:kern w:val="32"/>
          <w:sz w:val="32"/>
          <w:szCs w:val="32"/>
        </w:rPr>
        <w:t>平方米。后太仓市城市管理行政执法局将该情况通报太仓市住房和城乡建设局。</w:t>
      </w:r>
      <w:r>
        <w:rPr>
          <w:rFonts w:ascii="仿宋" w:hAnsi="仿宋" w:eastAsia="仿宋"/>
          <w:bCs/>
          <w:kern w:val="32"/>
          <w:sz w:val="32"/>
          <w:szCs w:val="32"/>
        </w:rPr>
        <w:t>2019</w:t>
      </w:r>
      <w:r>
        <w:rPr>
          <w:rFonts w:hint="eastAsia" w:ascii="仿宋" w:hAnsi="仿宋" w:eastAsia="仿宋"/>
          <w:bCs/>
          <w:kern w:val="32"/>
          <w:sz w:val="32"/>
          <w:szCs w:val="32"/>
        </w:rPr>
        <w:t>年</w:t>
      </w:r>
      <w:r>
        <w:rPr>
          <w:rFonts w:ascii="仿宋" w:hAnsi="仿宋" w:eastAsia="仿宋"/>
          <w:bCs/>
          <w:kern w:val="32"/>
          <w:sz w:val="32"/>
          <w:szCs w:val="32"/>
        </w:rPr>
        <w:t>1</w:t>
      </w:r>
      <w:r>
        <w:rPr>
          <w:rFonts w:hint="eastAsia" w:ascii="仿宋" w:hAnsi="仿宋" w:eastAsia="仿宋"/>
          <w:bCs/>
          <w:kern w:val="32"/>
          <w:sz w:val="32"/>
          <w:szCs w:val="32"/>
        </w:rPr>
        <w:t>月</w:t>
      </w:r>
      <w:r>
        <w:rPr>
          <w:rFonts w:ascii="仿宋" w:hAnsi="仿宋" w:eastAsia="仿宋"/>
          <w:bCs/>
          <w:kern w:val="32"/>
          <w:sz w:val="32"/>
          <w:szCs w:val="32"/>
        </w:rPr>
        <w:t>31</w:t>
      </w:r>
      <w:r>
        <w:rPr>
          <w:rFonts w:hint="eastAsia" w:ascii="仿宋" w:hAnsi="仿宋" w:eastAsia="仿宋"/>
          <w:bCs/>
          <w:kern w:val="32"/>
          <w:sz w:val="32"/>
          <w:szCs w:val="32"/>
        </w:rPr>
        <w:t>日，太仓市住房和城乡建设局作出《在建建设规划认定书》（文书编号：</w:t>
      </w:r>
      <w:r>
        <w:rPr>
          <w:rFonts w:ascii="仿宋" w:hAnsi="仿宋" w:eastAsia="仿宋"/>
          <w:bCs/>
          <w:kern w:val="32"/>
          <w:sz w:val="32"/>
          <w:szCs w:val="32"/>
        </w:rPr>
        <w:t>1900085</w:t>
      </w:r>
      <w:r>
        <w:rPr>
          <w:rFonts w:hint="eastAsia" w:ascii="仿宋" w:hAnsi="仿宋" w:eastAsia="仿宋"/>
          <w:bCs/>
          <w:kern w:val="32"/>
          <w:sz w:val="32"/>
          <w:szCs w:val="32"/>
        </w:rPr>
        <w:t>），认定：“雅鹿臻园</w:t>
      </w:r>
      <w:r>
        <w:rPr>
          <w:rFonts w:hint="eastAsia" w:ascii="仿宋" w:hAnsi="仿宋" w:eastAsia="仿宋"/>
          <w:bCs/>
          <w:kern w:val="32"/>
          <w:sz w:val="32"/>
          <w:szCs w:val="32"/>
          <w:lang w:val="en-US" w:eastAsia="zh-CN"/>
        </w:rPr>
        <w:t>XX</w:t>
      </w:r>
      <w:r>
        <w:rPr>
          <w:rFonts w:hint="eastAsia" w:ascii="仿宋" w:hAnsi="仿宋" w:eastAsia="仿宋"/>
          <w:bCs/>
          <w:kern w:val="32"/>
          <w:sz w:val="32"/>
          <w:szCs w:val="32"/>
        </w:rPr>
        <w:t>幢</w:t>
      </w:r>
      <w:r>
        <w:rPr>
          <w:rFonts w:hint="eastAsia" w:ascii="仿宋" w:hAnsi="仿宋" w:eastAsia="仿宋"/>
          <w:bCs/>
          <w:kern w:val="32"/>
          <w:sz w:val="32"/>
          <w:szCs w:val="32"/>
          <w:lang w:val="en-US" w:eastAsia="zh-CN"/>
        </w:rPr>
        <w:t>XX</w:t>
      </w:r>
      <w:bookmarkStart w:id="0" w:name="_GoBack"/>
      <w:bookmarkEnd w:id="0"/>
      <w:r>
        <w:rPr>
          <w:rFonts w:hint="eastAsia" w:ascii="仿宋" w:hAnsi="仿宋" w:eastAsia="仿宋"/>
          <w:bCs/>
          <w:kern w:val="32"/>
          <w:sz w:val="32"/>
          <w:szCs w:val="32"/>
        </w:rPr>
        <w:t>室拟搭建的建筑物未办理建设工程规划许可证，属违法建设”。</w:t>
      </w:r>
    </w:p>
    <w:p>
      <w:pPr>
        <w:topLinePunct/>
        <w:spacing w:line="580" w:lineRule="exact"/>
        <w:ind w:firstLine="640" w:firstLineChars="200"/>
        <w:rPr>
          <w:rFonts w:ascii="仿宋" w:hAnsi="仿宋" w:eastAsia="仿宋"/>
          <w:bCs/>
          <w:kern w:val="32"/>
          <w:sz w:val="32"/>
          <w:szCs w:val="32"/>
        </w:rPr>
      </w:pPr>
      <w:r>
        <w:rPr>
          <w:rFonts w:hint="eastAsia" w:ascii="仿宋" w:hAnsi="仿宋" w:eastAsia="仿宋"/>
          <w:bCs/>
          <w:kern w:val="32"/>
          <w:sz w:val="32"/>
          <w:szCs w:val="32"/>
        </w:rPr>
        <w:t>上述事实有下列证据证实：</w:t>
      </w:r>
    </w:p>
    <w:p>
      <w:pPr>
        <w:topLinePunct/>
        <w:spacing w:line="580" w:lineRule="exact"/>
        <w:ind w:firstLine="640" w:firstLineChars="200"/>
        <w:rPr>
          <w:rFonts w:ascii="仿宋" w:hAnsi="仿宋" w:eastAsia="仿宋"/>
          <w:bCs/>
          <w:kern w:val="32"/>
          <w:sz w:val="32"/>
          <w:szCs w:val="32"/>
        </w:rPr>
      </w:pPr>
      <w:r>
        <w:rPr>
          <w:rFonts w:ascii="仿宋" w:hAnsi="仿宋" w:eastAsia="仿宋"/>
          <w:bCs/>
          <w:kern w:val="32"/>
          <w:sz w:val="32"/>
          <w:szCs w:val="32"/>
        </w:rPr>
        <w:t>1</w:t>
      </w:r>
      <w:r>
        <w:rPr>
          <w:rFonts w:hint="eastAsia" w:ascii="仿宋" w:hAnsi="仿宋" w:eastAsia="仿宋"/>
          <w:bCs/>
          <w:kern w:val="32"/>
          <w:sz w:val="32"/>
          <w:szCs w:val="32"/>
        </w:rPr>
        <w:t>、房屋权属登记信息查询结果证明。证明申请人为涉案房屋产权人。</w:t>
      </w:r>
    </w:p>
    <w:p>
      <w:pPr>
        <w:pStyle w:val="10"/>
        <w:topLinePunct/>
        <w:autoSpaceDE/>
        <w:autoSpaceDN/>
        <w:adjustRightInd/>
        <w:spacing w:line="580" w:lineRule="exact"/>
        <w:ind w:firstLine="640" w:firstLineChars="200"/>
        <w:jc w:val="both"/>
        <w:rPr>
          <w:rFonts w:ascii="仿宋" w:hAnsi="仿宋_GB2312" w:eastAsia="仿宋" w:cs="仿宋_GB2312"/>
          <w:kern w:val="32"/>
          <w:sz w:val="32"/>
        </w:rPr>
      </w:pPr>
      <w:r>
        <w:rPr>
          <w:rFonts w:ascii="仿宋" w:hAnsi="仿宋" w:eastAsia="仿宋" w:cs="Times New Roman"/>
          <w:bCs/>
          <w:kern w:val="32"/>
          <w:sz w:val="32"/>
          <w:szCs w:val="32"/>
        </w:rPr>
        <w:t>2</w:t>
      </w:r>
      <w:r>
        <w:rPr>
          <w:rFonts w:hint="eastAsia" w:ascii="仿宋" w:hAnsi="仿宋" w:eastAsia="仿宋" w:cs="Times New Roman"/>
          <w:bCs/>
          <w:kern w:val="32"/>
          <w:sz w:val="32"/>
          <w:szCs w:val="32"/>
        </w:rPr>
        <w:t>、房屋分户平面图、现场检查笔录及照片。</w:t>
      </w:r>
      <w:r>
        <w:rPr>
          <w:rFonts w:hint="eastAsia" w:ascii="仿宋" w:hAnsi="仿宋_GB2312" w:eastAsia="仿宋" w:cs="仿宋_GB2312"/>
          <w:kern w:val="32"/>
          <w:sz w:val="32"/>
        </w:rPr>
        <w:t>证明申请人未向</w:t>
      </w:r>
      <w:r>
        <w:rPr>
          <w:rFonts w:hint="eastAsia" w:ascii="仿宋" w:hAnsi="仿宋" w:eastAsia="仿宋"/>
          <w:bCs/>
          <w:kern w:val="32"/>
          <w:sz w:val="32"/>
          <w:szCs w:val="32"/>
        </w:rPr>
        <w:t>太仓市住房和城乡建设局</w:t>
      </w:r>
      <w:r>
        <w:rPr>
          <w:rFonts w:hint="eastAsia" w:ascii="仿宋" w:hAnsi="仿宋_GB2312" w:eastAsia="仿宋" w:cs="仿宋_GB2312"/>
          <w:kern w:val="32"/>
          <w:sz w:val="32"/>
        </w:rPr>
        <w:t>申请规划许可即进行搭建的</w:t>
      </w:r>
      <w:r>
        <w:rPr>
          <w:rFonts w:hint="eastAsia" w:ascii="仿宋" w:eastAsia="仿宋"/>
          <w:kern w:val="32"/>
          <w:sz w:val="32"/>
          <w:szCs w:val="29"/>
        </w:rPr>
        <w:t>事实。</w:t>
      </w:r>
    </w:p>
    <w:p>
      <w:pPr>
        <w:pStyle w:val="10"/>
        <w:topLinePunct/>
        <w:autoSpaceDE/>
        <w:autoSpaceDN/>
        <w:adjustRightInd/>
        <w:spacing w:line="580" w:lineRule="exact"/>
        <w:ind w:firstLine="640" w:firstLineChars="200"/>
        <w:jc w:val="both"/>
        <w:rPr>
          <w:rFonts w:ascii="仿宋" w:hAnsi="仿宋" w:eastAsia="仿宋" w:cs="Times New Roman"/>
          <w:bCs/>
          <w:kern w:val="32"/>
          <w:sz w:val="32"/>
          <w:szCs w:val="32"/>
        </w:rPr>
      </w:pPr>
      <w:r>
        <w:rPr>
          <w:rFonts w:ascii="仿宋" w:hAnsi="仿宋" w:eastAsia="仿宋" w:cs="Times New Roman"/>
          <w:bCs/>
          <w:kern w:val="32"/>
          <w:sz w:val="32"/>
          <w:szCs w:val="32"/>
        </w:rPr>
        <w:t>3</w:t>
      </w:r>
      <w:r>
        <w:rPr>
          <w:rFonts w:hint="eastAsia" w:ascii="仿宋" w:hAnsi="仿宋" w:eastAsia="仿宋" w:cs="Times New Roman"/>
          <w:bCs/>
          <w:kern w:val="32"/>
          <w:sz w:val="32"/>
          <w:szCs w:val="32"/>
        </w:rPr>
        <w:t>、</w:t>
      </w:r>
      <w:r>
        <w:rPr>
          <w:rFonts w:hint="eastAsia" w:ascii="仿宋" w:hAnsi="仿宋" w:eastAsia="仿宋"/>
          <w:bCs/>
          <w:kern w:val="32"/>
          <w:sz w:val="32"/>
          <w:szCs w:val="32"/>
        </w:rPr>
        <w:t>《在建建设规划认定书》（文书编号：</w:t>
      </w:r>
      <w:r>
        <w:rPr>
          <w:rFonts w:ascii="仿宋" w:hAnsi="仿宋" w:eastAsia="仿宋"/>
          <w:bCs/>
          <w:kern w:val="32"/>
          <w:sz w:val="32"/>
          <w:szCs w:val="32"/>
        </w:rPr>
        <w:t>1900085</w:t>
      </w:r>
      <w:r>
        <w:rPr>
          <w:rFonts w:hint="eastAsia" w:ascii="仿宋" w:hAnsi="仿宋" w:eastAsia="仿宋"/>
          <w:bCs/>
          <w:kern w:val="32"/>
          <w:sz w:val="32"/>
          <w:szCs w:val="32"/>
        </w:rPr>
        <w:t>）</w:t>
      </w:r>
      <w:r>
        <w:rPr>
          <w:rFonts w:hint="eastAsia" w:ascii="仿宋" w:hAnsi="仿宋" w:eastAsia="仿宋" w:cs="Times New Roman"/>
          <w:bCs/>
          <w:kern w:val="32"/>
          <w:sz w:val="32"/>
          <w:szCs w:val="32"/>
        </w:rPr>
        <w:t>。证明</w:t>
      </w:r>
      <w:r>
        <w:rPr>
          <w:rFonts w:hint="eastAsia" w:ascii="仿宋" w:hAnsi="仿宋" w:eastAsia="仿宋"/>
          <w:bCs/>
          <w:kern w:val="32"/>
          <w:sz w:val="32"/>
          <w:szCs w:val="32"/>
        </w:rPr>
        <w:t>太仓市住房和城乡建设局</w:t>
      </w:r>
      <w:r>
        <w:rPr>
          <w:rFonts w:hint="eastAsia" w:ascii="仿宋" w:hAnsi="仿宋" w:eastAsia="仿宋" w:cs="Times New Roman"/>
          <w:bCs/>
          <w:kern w:val="32"/>
          <w:sz w:val="32"/>
          <w:szCs w:val="32"/>
        </w:rPr>
        <w:t>认定申请人进行的搭建属违法建设的内容和时间。</w:t>
      </w:r>
      <w:r>
        <w:rPr>
          <w:rFonts w:ascii="仿宋" w:hAnsi="仿宋" w:eastAsia="仿宋" w:cs="Times New Roman"/>
          <w:bCs/>
          <w:kern w:val="32"/>
          <w:sz w:val="32"/>
          <w:szCs w:val="32"/>
        </w:rPr>
        <w:t xml:space="preserve"> </w:t>
      </w:r>
    </w:p>
    <w:p>
      <w:pPr>
        <w:topLinePunct/>
        <w:spacing w:line="580" w:lineRule="exact"/>
        <w:ind w:firstLine="640" w:firstLineChars="200"/>
        <w:rPr>
          <w:rFonts w:ascii="仿宋" w:hAnsi="仿宋" w:eastAsia="仿宋"/>
          <w:bCs/>
          <w:kern w:val="32"/>
          <w:sz w:val="32"/>
          <w:szCs w:val="32"/>
        </w:rPr>
      </w:pPr>
      <w:r>
        <w:rPr>
          <w:rFonts w:hint="eastAsia" w:ascii="仿宋" w:hAnsi="仿宋" w:eastAsia="仿宋"/>
          <w:bCs/>
          <w:kern w:val="32"/>
          <w:sz w:val="32"/>
          <w:szCs w:val="32"/>
        </w:rPr>
        <w:t>本机关认为：县级以上地方人民政府城乡规划主管部门负责本行政区域内的城乡规划管理工作，太仓市住房和城乡建设局是进行违法建设认定的有权部门。在行政复议过程中，因机构改革，太仓市住房和城乡建设局的城乡规划管理职能转入太仓市自然资源和规划局，因此，本机关在案件审理过程中将本案被申请人调整为太仓市自然资源和规划局。</w:t>
      </w:r>
      <w:r>
        <w:rPr>
          <w:rFonts w:hint="eastAsia" w:ascii="仿宋" w:eastAsia="仿宋"/>
          <w:kern w:val="32"/>
          <w:sz w:val="32"/>
          <w:szCs w:val="28"/>
        </w:rPr>
        <w:t>《中华人民共和国城乡规划法》</w:t>
      </w:r>
      <w:r>
        <w:rPr>
          <w:rStyle w:val="6"/>
          <w:rFonts w:hint="eastAsia" w:ascii="仿宋" w:eastAsia="仿宋"/>
          <w:b w:val="0"/>
          <w:kern w:val="32"/>
          <w:sz w:val="32"/>
          <w:szCs w:val="28"/>
        </w:rPr>
        <w:t>第四十条第一款</w:t>
      </w:r>
      <w:r>
        <w:rPr>
          <w:rFonts w:hint="eastAsia" w:ascii="仿宋" w:eastAsia="仿宋"/>
          <w:kern w:val="32"/>
          <w:sz w:val="32"/>
          <w:szCs w:val="28"/>
        </w:rPr>
        <w:t>规定，“在城市、镇规划区内进行建筑物、构筑物、道路、管线和其他工程建设的，建设单位或者个人应当向城市、县人民政府城乡规划主管部门或者省、自治区、直辖市人民政府确定的镇人民政府申请办理建设工程规划许可证。”本案中，雅鹿臻园位于城乡规划区内，申请人未取得建设工程规划许可证即进行建设，违反了上述规定。</w:t>
      </w:r>
      <w:r>
        <w:rPr>
          <w:rFonts w:hint="eastAsia" w:ascii="仿宋" w:hAnsi="仿宋" w:eastAsia="仿宋"/>
          <w:bCs/>
          <w:kern w:val="32"/>
          <w:sz w:val="32"/>
          <w:szCs w:val="32"/>
        </w:rPr>
        <w:t>被申请人</w:t>
      </w:r>
      <w:r>
        <w:rPr>
          <w:rFonts w:hint="eastAsia" w:ascii="仿宋" w:eastAsia="仿宋"/>
          <w:kern w:val="32"/>
          <w:sz w:val="32"/>
          <w:szCs w:val="28"/>
        </w:rPr>
        <w:t>作出违法建设的认定，</w:t>
      </w:r>
      <w:r>
        <w:rPr>
          <w:rFonts w:hint="eastAsia" w:ascii="仿宋" w:eastAsia="仿宋"/>
          <w:kern w:val="32"/>
          <w:sz w:val="32"/>
          <w:szCs w:val="29"/>
        </w:rPr>
        <w:t>事实清楚、依据充分。</w:t>
      </w:r>
    </w:p>
    <w:p>
      <w:pPr>
        <w:topLinePunct/>
        <w:spacing w:line="580" w:lineRule="exact"/>
        <w:ind w:firstLine="640" w:firstLineChars="200"/>
        <w:rPr>
          <w:rFonts w:ascii="仿宋" w:hAnsi="仿宋" w:eastAsia="仿宋"/>
          <w:bCs/>
          <w:kern w:val="32"/>
          <w:sz w:val="32"/>
          <w:szCs w:val="32"/>
        </w:rPr>
      </w:pPr>
      <w:r>
        <w:rPr>
          <w:rFonts w:hint="eastAsia" w:ascii="仿宋" w:hAnsi="仿宋" w:eastAsia="仿宋"/>
          <w:bCs/>
          <w:kern w:val="32"/>
          <w:sz w:val="32"/>
          <w:szCs w:val="32"/>
        </w:rPr>
        <w:t>根据《中华人民共和国行政复议法》第二十八条第一款第一项之规定，本机关决定如下：</w:t>
      </w:r>
    </w:p>
    <w:p>
      <w:pPr>
        <w:topLinePunct/>
        <w:spacing w:line="580" w:lineRule="exact"/>
        <w:ind w:firstLine="640" w:firstLineChars="200"/>
        <w:rPr>
          <w:rFonts w:ascii="仿宋" w:hAnsi="仿宋" w:eastAsia="仿宋"/>
          <w:bCs/>
          <w:kern w:val="32"/>
          <w:sz w:val="32"/>
          <w:szCs w:val="32"/>
        </w:rPr>
      </w:pPr>
      <w:r>
        <w:rPr>
          <w:rFonts w:hint="eastAsia" w:ascii="仿宋" w:hAnsi="仿宋" w:eastAsia="仿宋"/>
          <w:bCs/>
          <w:kern w:val="32"/>
          <w:sz w:val="32"/>
          <w:szCs w:val="32"/>
        </w:rPr>
        <w:t>维持被申请人作出的《在建建设规划认定书》（文书编号：</w:t>
      </w:r>
      <w:r>
        <w:rPr>
          <w:rFonts w:ascii="仿宋" w:hAnsi="仿宋" w:eastAsia="仿宋"/>
          <w:bCs/>
          <w:kern w:val="32"/>
          <w:sz w:val="32"/>
          <w:szCs w:val="32"/>
        </w:rPr>
        <w:t>1900085</w:t>
      </w:r>
      <w:r>
        <w:rPr>
          <w:rFonts w:hint="eastAsia" w:ascii="仿宋" w:hAnsi="仿宋" w:eastAsia="仿宋"/>
          <w:bCs/>
          <w:kern w:val="32"/>
          <w:sz w:val="32"/>
          <w:szCs w:val="32"/>
        </w:rPr>
        <w:t>）。</w:t>
      </w:r>
    </w:p>
    <w:p>
      <w:pPr>
        <w:topLinePunct/>
        <w:spacing w:line="580" w:lineRule="exact"/>
        <w:ind w:firstLine="640" w:firstLineChars="200"/>
        <w:rPr>
          <w:rFonts w:ascii="仿宋" w:hAnsi="仿宋" w:eastAsia="仿宋"/>
          <w:bCs/>
          <w:kern w:val="32"/>
          <w:sz w:val="32"/>
          <w:szCs w:val="32"/>
        </w:rPr>
      </w:pPr>
      <w:r>
        <w:rPr>
          <w:rFonts w:hint="eastAsia" w:ascii="仿宋" w:hAnsi="仿宋" w:eastAsia="仿宋"/>
          <w:bCs/>
          <w:kern w:val="32"/>
          <w:sz w:val="32"/>
          <w:szCs w:val="32"/>
        </w:rPr>
        <w:t>如对本决定不服，可以自接到本决定书之日起</w:t>
      </w:r>
      <w:r>
        <w:rPr>
          <w:rFonts w:ascii="仿宋" w:hAnsi="仿宋" w:eastAsia="仿宋"/>
          <w:bCs/>
          <w:kern w:val="32"/>
          <w:sz w:val="32"/>
          <w:szCs w:val="32"/>
        </w:rPr>
        <w:t>15</w:t>
      </w:r>
      <w:r>
        <w:rPr>
          <w:rFonts w:hint="eastAsia" w:ascii="仿宋" w:hAnsi="仿宋" w:eastAsia="仿宋"/>
          <w:bCs/>
          <w:kern w:val="32"/>
          <w:sz w:val="32"/>
          <w:szCs w:val="32"/>
        </w:rPr>
        <w:t>日内，向太仓市人民法院提起行政诉讼。</w:t>
      </w:r>
    </w:p>
    <w:p>
      <w:pPr>
        <w:topLinePunct/>
        <w:spacing w:line="580" w:lineRule="exact"/>
        <w:ind w:firstLine="640" w:firstLineChars="200"/>
        <w:rPr>
          <w:rFonts w:ascii="仿宋" w:hAnsi="仿宋" w:eastAsia="仿宋"/>
          <w:bCs/>
          <w:kern w:val="32"/>
          <w:sz w:val="32"/>
          <w:szCs w:val="32"/>
        </w:rPr>
      </w:pPr>
    </w:p>
    <w:p>
      <w:pPr>
        <w:topLinePunct/>
        <w:spacing w:line="580" w:lineRule="exact"/>
        <w:ind w:firstLine="640" w:firstLineChars="200"/>
        <w:jc w:val="right"/>
        <w:rPr>
          <w:rFonts w:ascii="仿宋" w:hAnsi="仿宋" w:eastAsia="仿宋"/>
          <w:bCs/>
          <w:kern w:val="32"/>
          <w:sz w:val="32"/>
          <w:szCs w:val="32"/>
        </w:rPr>
      </w:pPr>
      <w:r>
        <w:rPr>
          <w:rFonts w:ascii="仿宋" w:hAnsi="仿宋" w:eastAsia="仿宋"/>
          <w:bCs/>
          <w:kern w:val="32"/>
          <w:sz w:val="32"/>
          <w:szCs w:val="32"/>
        </w:rPr>
        <w:t xml:space="preserve">                         </w:t>
      </w:r>
      <w:r>
        <w:rPr>
          <w:rFonts w:hint="eastAsia" w:ascii="仿宋" w:hAnsi="仿宋" w:eastAsia="仿宋"/>
          <w:bCs/>
          <w:kern w:val="32"/>
          <w:sz w:val="32"/>
          <w:szCs w:val="32"/>
        </w:rPr>
        <w:t>二</w:t>
      </w:r>
      <w:r>
        <w:rPr>
          <w:rFonts w:hint="eastAsia" w:ascii="仿宋" w:hAnsi="仿宋" w:eastAsia="仿宋" w:cs="宋体"/>
          <w:bCs/>
          <w:kern w:val="32"/>
          <w:sz w:val="32"/>
          <w:szCs w:val="32"/>
        </w:rPr>
        <w:t>〇一九</w:t>
      </w:r>
      <w:r>
        <w:rPr>
          <w:rFonts w:hint="eastAsia" w:ascii="仿宋" w:hAnsi="仿宋" w:eastAsia="仿宋"/>
          <w:bCs/>
          <w:kern w:val="32"/>
          <w:sz w:val="32"/>
          <w:szCs w:val="32"/>
        </w:rPr>
        <w:t>年五月二十三日</w:t>
      </w:r>
    </w:p>
    <w:p>
      <w:pPr>
        <w:topLinePunct/>
        <w:spacing w:line="580" w:lineRule="exact"/>
        <w:rPr>
          <w:kern w:val="32"/>
        </w:rPr>
      </w:pPr>
    </w:p>
    <w:sectPr>
      <w:footerReference r:id="rId3" w:type="default"/>
      <w:footerReference r:id="rId4" w:type="even"/>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- 1 -</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23A4657"/>
    <w:rsid w:val="00016E70"/>
    <w:rsid w:val="00132BBC"/>
    <w:rsid w:val="001464EE"/>
    <w:rsid w:val="001674C1"/>
    <w:rsid w:val="00176152"/>
    <w:rsid w:val="00200BEA"/>
    <w:rsid w:val="00287750"/>
    <w:rsid w:val="003B08A6"/>
    <w:rsid w:val="00425BCB"/>
    <w:rsid w:val="00441041"/>
    <w:rsid w:val="00450795"/>
    <w:rsid w:val="00476AB0"/>
    <w:rsid w:val="00500304"/>
    <w:rsid w:val="00553FAC"/>
    <w:rsid w:val="00575601"/>
    <w:rsid w:val="00584890"/>
    <w:rsid w:val="005A6CBD"/>
    <w:rsid w:val="00607D60"/>
    <w:rsid w:val="006364FD"/>
    <w:rsid w:val="00643524"/>
    <w:rsid w:val="00680AD2"/>
    <w:rsid w:val="006F2DDB"/>
    <w:rsid w:val="00723FA8"/>
    <w:rsid w:val="00773DDC"/>
    <w:rsid w:val="0078144B"/>
    <w:rsid w:val="00791584"/>
    <w:rsid w:val="007C054B"/>
    <w:rsid w:val="007C5313"/>
    <w:rsid w:val="007D509A"/>
    <w:rsid w:val="007D519A"/>
    <w:rsid w:val="007D5831"/>
    <w:rsid w:val="009260A5"/>
    <w:rsid w:val="00960D5F"/>
    <w:rsid w:val="00973E0C"/>
    <w:rsid w:val="009A7608"/>
    <w:rsid w:val="009D243E"/>
    <w:rsid w:val="009F7A19"/>
    <w:rsid w:val="00A01B0B"/>
    <w:rsid w:val="00A22ADD"/>
    <w:rsid w:val="00AD4B37"/>
    <w:rsid w:val="00B2425E"/>
    <w:rsid w:val="00BA7192"/>
    <w:rsid w:val="00BA72E1"/>
    <w:rsid w:val="00BB2DEB"/>
    <w:rsid w:val="00BB5991"/>
    <w:rsid w:val="00C74A0D"/>
    <w:rsid w:val="00CA54AD"/>
    <w:rsid w:val="00D26D5B"/>
    <w:rsid w:val="00E15C7D"/>
    <w:rsid w:val="00E50D97"/>
    <w:rsid w:val="00E92CED"/>
    <w:rsid w:val="00EB65C6"/>
    <w:rsid w:val="00F10078"/>
    <w:rsid w:val="00F72496"/>
    <w:rsid w:val="00F72746"/>
    <w:rsid w:val="00FA6B38"/>
    <w:rsid w:val="00FB040C"/>
    <w:rsid w:val="180779C1"/>
    <w:rsid w:val="2EF0219C"/>
    <w:rsid w:val="323A465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semiHidden="0"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8"/>
    <w:uiPriority w:val="99"/>
    <w:pPr>
      <w:jc w:val="left"/>
    </w:pPr>
  </w:style>
  <w:style w:type="paragraph" w:styleId="3">
    <w:name w:val="footer"/>
    <w:basedOn w:val="1"/>
    <w:link w:val="9"/>
    <w:qFormat/>
    <w:uiPriority w:val="99"/>
    <w:pPr>
      <w:tabs>
        <w:tab w:val="center" w:pos="4153"/>
        <w:tab w:val="right" w:pos="8306"/>
      </w:tabs>
      <w:snapToGrid w:val="0"/>
      <w:jc w:val="left"/>
    </w:pPr>
    <w:rPr>
      <w:sz w:val="18"/>
      <w:szCs w:val="18"/>
    </w:rPr>
  </w:style>
  <w:style w:type="character" w:styleId="6">
    <w:name w:val="Strong"/>
    <w:basedOn w:val="5"/>
    <w:qFormat/>
    <w:uiPriority w:val="99"/>
    <w:rPr>
      <w:rFonts w:cs="Times New Roman"/>
      <w:b/>
      <w:bCs/>
    </w:rPr>
  </w:style>
  <w:style w:type="character" w:styleId="7">
    <w:name w:val="page number"/>
    <w:basedOn w:val="5"/>
    <w:qFormat/>
    <w:uiPriority w:val="99"/>
    <w:rPr>
      <w:rFonts w:cs="Times New Roman"/>
    </w:rPr>
  </w:style>
  <w:style w:type="character" w:customStyle="1" w:styleId="8">
    <w:name w:val="Comment Text Char"/>
    <w:basedOn w:val="5"/>
    <w:link w:val="2"/>
    <w:semiHidden/>
    <w:locked/>
    <w:uiPriority w:val="99"/>
    <w:rPr>
      <w:rFonts w:cs="Times New Roman"/>
      <w:sz w:val="24"/>
      <w:szCs w:val="24"/>
    </w:rPr>
  </w:style>
  <w:style w:type="character" w:customStyle="1" w:styleId="9">
    <w:name w:val="Footer Char"/>
    <w:basedOn w:val="5"/>
    <w:link w:val="3"/>
    <w:semiHidden/>
    <w:qFormat/>
    <w:locked/>
    <w:uiPriority w:val="99"/>
    <w:rPr>
      <w:rFonts w:cs="Times New Roman"/>
      <w:sz w:val="18"/>
      <w:szCs w:val="18"/>
    </w:rPr>
  </w:style>
  <w:style w:type="paragraph" w:customStyle="1" w:styleId="10">
    <w:name w:val="样式"/>
    <w:uiPriority w:val="99"/>
    <w:pPr>
      <w:widowControl w:val="0"/>
      <w:autoSpaceDE w:val="0"/>
      <w:autoSpaceDN w:val="0"/>
      <w:adjustRightInd w:val="0"/>
    </w:pPr>
    <w:rPr>
      <w:rFonts w:ascii="宋体" w:hAnsi="Times New Roman"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5</Pages>
  <Words>356</Words>
  <Characters>2031</Characters>
  <Lines>0</Lines>
  <Paragraphs>0</Paragraphs>
  <TotalTime>92</TotalTime>
  <ScaleCrop>false</ScaleCrop>
  <LinksUpToDate>false</LinksUpToDate>
  <CharactersWithSpaces>0</CharactersWithSpaces>
  <Application>WPS Office_11.1.0.9058_F1E327BC-269C-435d-A152-05C5408002CA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2019-05-08T06:34:00Z</dcterms:created>
  <dc:creator>水晶蓝贝</dc:creator>
  <cp:lastModifiedBy>水晶蓝贝</cp:lastModifiedBy>
  <cp:lastPrinted>2019-05-20T08:25:00Z</cp:lastPrinted>
  <dcterms:modified xsi:type="dcterms:W3CDTF">2019-09-27T07:51:11Z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