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>公共行车系统运行情况</w:t>
      </w:r>
      <w:r>
        <w:rPr>
          <w:rFonts w:hint="eastAsia"/>
          <w:sz w:val="30"/>
          <w:szCs w:val="30"/>
        </w:rPr>
        <w:t>—201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月月报告</w:t>
      </w:r>
    </w:p>
    <w:p>
      <w:pPr>
        <w:spacing w:line="220" w:lineRule="atLeast"/>
        <w:ind w:firstLine="44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自2015年1月1日起运营至今已迈过四年时间，市民给予了一定的认可与支持。目前已建成网点共计</w:t>
      </w:r>
      <w:r>
        <w:rPr>
          <w:rFonts w:asciiTheme="minorEastAsia" w:hAnsiTheme="minorEastAsia" w:eastAsiaTheme="minorEastAsia"/>
        </w:rPr>
        <w:t>430</w:t>
      </w:r>
      <w:r>
        <w:rPr>
          <w:rFonts w:hint="eastAsia" w:asciiTheme="minorEastAsia" w:hAnsiTheme="minorEastAsia" w:eastAsiaTheme="minorEastAsia"/>
        </w:rPr>
        <w:t>个，共计公共自行车</w:t>
      </w:r>
      <w:r>
        <w:rPr>
          <w:rFonts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6</w:t>
      </w:r>
      <w:r>
        <w:rPr>
          <w:rFonts w:asciiTheme="minorEastAsia" w:hAnsiTheme="minorEastAsia" w:eastAsiaTheme="minorEastAsia"/>
        </w:rPr>
        <w:t>00</w:t>
      </w:r>
      <w:r>
        <w:rPr>
          <w:rFonts w:hint="eastAsia" w:asciiTheme="minorEastAsia" w:hAnsiTheme="minorEastAsia" w:eastAsiaTheme="minorEastAsia"/>
        </w:rPr>
        <w:t>辆已投入使用。结合市民意见及客观因素，在投入的新车辆上将原先的车辆和把手稍作调整，更贴切满足市民的骑行需要。</w:t>
      </w:r>
    </w:p>
    <w:p>
      <w:pPr>
        <w:spacing w:line="220" w:lineRule="atLeast"/>
        <w:ind w:firstLine="440" w:firstLineChars="200"/>
        <w:rPr>
          <w:rFonts w:asciiTheme="minorEastAsia" w:hAnsiTheme="minorEastAsia" w:eastAsiaTheme="minorEastAsia"/>
        </w:rPr>
      </w:pPr>
    </w:p>
    <w:p>
      <w:pPr>
        <w:spacing w:line="360" w:lineRule="auto"/>
        <w:ind w:firstLine="44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2019年1月1日至2019年1月31日，自发卡办卡-104张，市民卡办卡61张，押金-8600元，充值6731元；截至1月共办理自发卡17013张，市民卡29383张。自发卡办理数较上月减少36.8%，市民卡办理数较上月减少19.7%。当月扫码租车开通513人次，其中绑卡开通86人次。截至1月扫码租车共计开通17816人次，其中绑卡开通4815人次　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274310" cy="3076575"/>
            <wp:effectExtent l="19050" t="0" r="21590" b="0"/>
            <wp:docPr id="1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Cs w:val="21"/>
        </w:rPr>
      </w:pPr>
    </w:p>
    <w:p>
      <w:pPr>
        <w:spacing w:line="220" w:lineRule="atLeast"/>
        <w:ind w:firstLine="440" w:firstLineChars="2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本月热线电话总量为1692个，相较12月电话量减少11.83%。其中咨询与建议284个，租车问题408个，还车问题960个，其他类40个 。截至1月共受理热线电话量103376个；01月25日电话量最高值达93个。本月平均每75车次/个电话受理量，相较12月受理频率增加10.29%。</w:t>
      </w:r>
    </w:p>
    <w:p>
      <w:pPr>
        <w:spacing w:line="220" w:lineRule="atLeast"/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82" w:firstLineChars="200"/>
        <w:jc w:val="center"/>
        <w:rPr>
          <w:b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热线电话量</w:t>
      </w:r>
    </w:p>
    <w:p>
      <w:pPr>
        <w:spacing w:line="220" w:lineRule="atLeast"/>
        <w:ind w:firstLine="440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drawing>
          <wp:inline distT="0" distB="0" distL="0" distR="0">
            <wp:extent cx="5452745" cy="2487295"/>
            <wp:effectExtent l="0" t="0" r="14605" b="8255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220" w:lineRule="atLeast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220" w:lineRule="atLeast"/>
        <w:ind w:firstLine="44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</w:rPr>
        <w:t>当月租还车127140次，日均租车量约4101次，免费租骑率达 98.4%。单日租借最高峰于01月25日高达5648次。早租用量高峰（7:30-9:30）724次，其中第一中学最高为（23）次；晚租用量高峰（17:00-21:00）688次，其中万达广场南租车率最高为44次。</w:t>
      </w:r>
    </w:p>
    <w:p>
      <w:pPr>
        <w:spacing w:line="220" w:lineRule="atLeast"/>
        <w:ind w:firstLine="482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网点租用量</w:t>
      </w:r>
    </w:p>
    <w:p>
      <w:pPr>
        <w:spacing w:line="220" w:lineRule="atLeast"/>
        <w:ind w:firstLine="440" w:firstLineChars="200"/>
        <w:jc w:val="center"/>
        <w:rPr>
          <w:rFonts w:asciiTheme="majorEastAsia" w:hAnsiTheme="majorEastAsia" w:eastAsiaTheme="majorEastAsia"/>
          <w:b/>
          <w:sz w:val="24"/>
          <w:szCs w:val="24"/>
        </w:rPr>
      </w:pPr>
      <w:r>
        <w:drawing>
          <wp:inline distT="0" distB="0" distL="0" distR="0">
            <wp:extent cx="5302250" cy="2762885"/>
            <wp:effectExtent l="0" t="0" r="12700" b="18415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/>
    </w:p>
    <w:p>
      <w:pPr/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</w:t>
      </w:r>
      <w:bookmarkStart w:id="0" w:name="_GoBack"/>
      <w:bookmarkEnd w:id="0"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EC3"/>
    <w:rsid w:val="00032EC3"/>
    <w:rsid w:val="000418F7"/>
    <w:rsid w:val="000463BD"/>
    <w:rsid w:val="00047571"/>
    <w:rsid w:val="00047B7F"/>
    <w:rsid w:val="000618F2"/>
    <w:rsid w:val="00070DC6"/>
    <w:rsid w:val="00075C84"/>
    <w:rsid w:val="000949C2"/>
    <w:rsid w:val="000B7C80"/>
    <w:rsid w:val="000C122F"/>
    <w:rsid w:val="000D38D9"/>
    <w:rsid w:val="000D50FF"/>
    <w:rsid w:val="000E355F"/>
    <w:rsid w:val="00104C4C"/>
    <w:rsid w:val="001136DB"/>
    <w:rsid w:val="001140F4"/>
    <w:rsid w:val="00143B32"/>
    <w:rsid w:val="00143B43"/>
    <w:rsid w:val="00172DC7"/>
    <w:rsid w:val="00174751"/>
    <w:rsid w:val="001859DC"/>
    <w:rsid w:val="00186E32"/>
    <w:rsid w:val="0019194C"/>
    <w:rsid w:val="00193CEE"/>
    <w:rsid w:val="00195375"/>
    <w:rsid w:val="0019553F"/>
    <w:rsid w:val="001A024A"/>
    <w:rsid w:val="001A76E2"/>
    <w:rsid w:val="001B4CE9"/>
    <w:rsid w:val="001C23BB"/>
    <w:rsid w:val="001D03AA"/>
    <w:rsid w:val="001D5606"/>
    <w:rsid w:val="001E2AE0"/>
    <w:rsid w:val="0020278A"/>
    <w:rsid w:val="00207C29"/>
    <w:rsid w:val="002252F3"/>
    <w:rsid w:val="00233ECB"/>
    <w:rsid w:val="00241C0A"/>
    <w:rsid w:val="00245B7B"/>
    <w:rsid w:val="002518D1"/>
    <w:rsid w:val="00254004"/>
    <w:rsid w:val="002631A1"/>
    <w:rsid w:val="00273033"/>
    <w:rsid w:val="00274C15"/>
    <w:rsid w:val="002776EA"/>
    <w:rsid w:val="002D1810"/>
    <w:rsid w:val="002E1317"/>
    <w:rsid w:val="002E46EC"/>
    <w:rsid w:val="002E7E13"/>
    <w:rsid w:val="00301113"/>
    <w:rsid w:val="0031515F"/>
    <w:rsid w:val="00321097"/>
    <w:rsid w:val="00336225"/>
    <w:rsid w:val="003477A3"/>
    <w:rsid w:val="00351B7D"/>
    <w:rsid w:val="00385CCF"/>
    <w:rsid w:val="003926BF"/>
    <w:rsid w:val="003A1823"/>
    <w:rsid w:val="003B3E2C"/>
    <w:rsid w:val="003B74D9"/>
    <w:rsid w:val="003C484E"/>
    <w:rsid w:val="003C727B"/>
    <w:rsid w:val="00416B35"/>
    <w:rsid w:val="00425694"/>
    <w:rsid w:val="004630DF"/>
    <w:rsid w:val="004743A4"/>
    <w:rsid w:val="00481844"/>
    <w:rsid w:val="00485ED1"/>
    <w:rsid w:val="004A0387"/>
    <w:rsid w:val="004A65B8"/>
    <w:rsid w:val="004B3E12"/>
    <w:rsid w:val="004C534B"/>
    <w:rsid w:val="004D0F46"/>
    <w:rsid w:val="004D2714"/>
    <w:rsid w:val="004F1DEE"/>
    <w:rsid w:val="0050183D"/>
    <w:rsid w:val="00524EB3"/>
    <w:rsid w:val="00532F0F"/>
    <w:rsid w:val="00534547"/>
    <w:rsid w:val="00535C71"/>
    <w:rsid w:val="005459B2"/>
    <w:rsid w:val="00553375"/>
    <w:rsid w:val="00560B94"/>
    <w:rsid w:val="005726AA"/>
    <w:rsid w:val="00573A9C"/>
    <w:rsid w:val="00585E3A"/>
    <w:rsid w:val="005B669B"/>
    <w:rsid w:val="005C18A4"/>
    <w:rsid w:val="005E4B01"/>
    <w:rsid w:val="006028A6"/>
    <w:rsid w:val="00605F79"/>
    <w:rsid w:val="00606D0A"/>
    <w:rsid w:val="006541E2"/>
    <w:rsid w:val="00664BF5"/>
    <w:rsid w:val="00670310"/>
    <w:rsid w:val="00672113"/>
    <w:rsid w:val="00674403"/>
    <w:rsid w:val="00677BC6"/>
    <w:rsid w:val="0068003F"/>
    <w:rsid w:val="006811FA"/>
    <w:rsid w:val="00686E34"/>
    <w:rsid w:val="00687BE2"/>
    <w:rsid w:val="00690CD0"/>
    <w:rsid w:val="006A0A61"/>
    <w:rsid w:val="006A1624"/>
    <w:rsid w:val="006A1EA2"/>
    <w:rsid w:val="006C0BF4"/>
    <w:rsid w:val="006C5E9B"/>
    <w:rsid w:val="00705390"/>
    <w:rsid w:val="00712FA2"/>
    <w:rsid w:val="00717DEF"/>
    <w:rsid w:val="00746E4B"/>
    <w:rsid w:val="00750C1E"/>
    <w:rsid w:val="0075416C"/>
    <w:rsid w:val="0076763D"/>
    <w:rsid w:val="0078042D"/>
    <w:rsid w:val="00781B8A"/>
    <w:rsid w:val="00793D89"/>
    <w:rsid w:val="00796078"/>
    <w:rsid w:val="007B06E0"/>
    <w:rsid w:val="007C6135"/>
    <w:rsid w:val="007D2EC1"/>
    <w:rsid w:val="007F15C2"/>
    <w:rsid w:val="007F6118"/>
    <w:rsid w:val="008017E2"/>
    <w:rsid w:val="00802B55"/>
    <w:rsid w:val="00807C94"/>
    <w:rsid w:val="00817E1A"/>
    <w:rsid w:val="0083322B"/>
    <w:rsid w:val="00845DAA"/>
    <w:rsid w:val="00850034"/>
    <w:rsid w:val="00851DDE"/>
    <w:rsid w:val="00877B93"/>
    <w:rsid w:val="00881CCA"/>
    <w:rsid w:val="00887D72"/>
    <w:rsid w:val="008A182A"/>
    <w:rsid w:val="008A23CA"/>
    <w:rsid w:val="008A2D5B"/>
    <w:rsid w:val="008A7168"/>
    <w:rsid w:val="008B15E2"/>
    <w:rsid w:val="008D2671"/>
    <w:rsid w:val="008E3199"/>
    <w:rsid w:val="008E3D2B"/>
    <w:rsid w:val="0090077C"/>
    <w:rsid w:val="00900E13"/>
    <w:rsid w:val="00911568"/>
    <w:rsid w:val="0091353D"/>
    <w:rsid w:val="00952029"/>
    <w:rsid w:val="00961F67"/>
    <w:rsid w:val="00986E05"/>
    <w:rsid w:val="00997480"/>
    <w:rsid w:val="009A16C3"/>
    <w:rsid w:val="009B19E1"/>
    <w:rsid w:val="009C6C30"/>
    <w:rsid w:val="009E402D"/>
    <w:rsid w:val="009E65C6"/>
    <w:rsid w:val="00A201CF"/>
    <w:rsid w:val="00A26D6C"/>
    <w:rsid w:val="00A31578"/>
    <w:rsid w:val="00A37ED2"/>
    <w:rsid w:val="00A53D9F"/>
    <w:rsid w:val="00A56976"/>
    <w:rsid w:val="00A70556"/>
    <w:rsid w:val="00A87F2F"/>
    <w:rsid w:val="00A94751"/>
    <w:rsid w:val="00AC150F"/>
    <w:rsid w:val="00AD5D18"/>
    <w:rsid w:val="00AD61EE"/>
    <w:rsid w:val="00B20509"/>
    <w:rsid w:val="00B322C9"/>
    <w:rsid w:val="00B348CC"/>
    <w:rsid w:val="00B357BD"/>
    <w:rsid w:val="00B413BD"/>
    <w:rsid w:val="00B4491B"/>
    <w:rsid w:val="00B6154E"/>
    <w:rsid w:val="00B61BA9"/>
    <w:rsid w:val="00B65E55"/>
    <w:rsid w:val="00B858D1"/>
    <w:rsid w:val="00B872E6"/>
    <w:rsid w:val="00B9481E"/>
    <w:rsid w:val="00B97AD9"/>
    <w:rsid w:val="00B97D28"/>
    <w:rsid w:val="00BC2C9E"/>
    <w:rsid w:val="00BC55F5"/>
    <w:rsid w:val="00BE21B2"/>
    <w:rsid w:val="00BF1CD4"/>
    <w:rsid w:val="00BF4A6E"/>
    <w:rsid w:val="00C4185B"/>
    <w:rsid w:val="00C46794"/>
    <w:rsid w:val="00C471EF"/>
    <w:rsid w:val="00C5078A"/>
    <w:rsid w:val="00C62316"/>
    <w:rsid w:val="00C72A6F"/>
    <w:rsid w:val="00CA18C2"/>
    <w:rsid w:val="00CB0ACC"/>
    <w:rsid w:val="00CC56B7"/>
    <w:rsid w:val="00CD2A44"/>
    <w:rsid w:val="00D0107C"/>
    <w:rsid w:val="00D20231"/>
    <w:rsid w:val="00D262C9"/>
    <w:rsid w:val="00D31027"/>
    <w:rsid w:val="00D35257"/>
    <w:rsid w:val="00D35FA5"/>
    <w:rsid w:val="00D53638"/>
    <w:rsid w:val="00D651AD"/>
    <w:rsid w:val="00DC2F5E"/>
    <w:rsid w:val="00DC434D"/>
    <w:rsid w:val="00DD377C"/>
    <w:rsid w:val="00DF18C5"/>
    <w:rsid w:val="00DF6FF2"/>
    <w:rsid w:val="00E0418D"/>
    <w:rsid w:val="00E1770D"/>
    <w:rsid w:val="00E3202C"/>
    <w:rsid w:val="00E34715"/>
    <w:rsid w:val="00E34AF7"/>
    <w:rsid w:val="00E47641"/>
    <w:rsid w:val="00E66F14"/>
    <w:rsid w:val="00E84AC4"/>
    <w:rsid w:val="00E90868"/>
    <w:rsid w:val="00EA1F59"/>
    <w:rsid w:val="00EA498B"/>
    <w:rsid w:val="00EB2124"/>
    <w:rsid w:val="00EB2C49"/>
    <w:rsid w:val="00EC4E2C"/>
    <w:rsid w:val="00EF0CB6"/>
    <w:rsid w:val="00EF6210"/>
    <w:rsid w:val="00F02771"/>
    <w:rsid w:val="00F03789"/>
    <w:rsid w:val="00F1149B"/>
    <w:rsid w:val="00F222F1"/>
    <w:rsid w:val="00F24A13"/>
    <w:rsid w:val="00F25483"/>
    <w:rsid w:val="00F35236"/>
    <w:rsid w:val="00F402A8"/>
    <w:rsid w:val="00F42E47"/>
    <w:rsid w:val="00F44FCC"/>
    <w:rsid w:val="00F45D38"/>
    <w:rsid w:val="00F615BD"/>
    <w:rsid w:val="00F70C48"/>
    <w:rsid w:val="00F75569"/>
    <w:rsid w:val="00F95261"/>
    <w:rsid w:val="00FA7D44"/>
    <w:rsid w:val="00FB476F"/>
    <w:rsid w:val="00FE4171"/>
    <w:rsid w:val="00FE7BC8"/>
    <w:rsid w:val="00FF4DF5"/>
    <w:rsid w:val="0BE103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微软雅黑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54221689661777"/>
          <c:y val="0.0458308346131657"/>
          <c:w val="0.757727361493732"/>
          <c:h val="0.90833833077366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12月</c:v>
                </c:pt>
              </c:strCache>
            </c:strRef>
          </c:tx>
          <c:spPr>
            <a:noFill/>
            <a:ln w="28575">
              <a:solidFill>
                <a:schemeClr val="accent1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 c:formatCode="General">
                  <c:v>6</c:v>
                </c:pt>
                <c:pt idx="1" c:formatCode="General">
                  <c:v>6</c:v>
                </c:pt>
                <c:pt idx="2" c:formatCode="General">
                  <c:v>4</c:v>
                </c:pt>
                <c:pt idx="3" c:formatCode="General">
                  <c:v>0</c:v>
                </c:pt>
                <c:pt idx="4" c:formatCode="General">
                  <c:v>-1</c:v>
                </c:pt>
                <c:pt idx="5" c:formatCode="General">
                  <c:v>4</c:v>
                </c:pt>
                <c:pt idx="6" c:formatCode="General">
                  <c:v>0</c:v>
                </c:pt>
                <c:pt idx="7" c:formatCode="General">
                  <c:v>-3</c:v>
                </c:pt>
                <c:pt idx="8" c:formatCode="General">
                  <c:v>2</c:v>
                </c:pt>
                <c:pt idx="9" c:formatCode="General">
                  <c:v>1</c:v>
                </c:pt>
                <c:pt idx="10" c:formatCode="General">
                  <c:v>3</c:v>
                </c:pt>
                <c:pt idx="11" c:formatCode="General">
                  <c:v>0</c:v>
                </c:pt>
                <c:pt idx="12" c:formatCode="General">
                  <c:v>0</c:v>
                </c:pt>
                <c:pt idx="13" c:formatCode="General">
                  <c:v>0</c:v>
                </c:pt>
                <c:pt idx="14" c:formatCode="General">
                  <c:v>-2</c:v>
                </c:pt>
                <c:pt idx="15" c:formatCode="General">
                  <c:v>-3</c:v>
                </c:pt>
                <c:pt idx="16" c:formatCode="General">
                  <c:v>-2</c:v>
                </c:pt>
                <c:pt idx="17" c:formatCode="General">
                  <c:v>-2</c:v>
                </c:pt>
                <c:pt idx="18" c:formatCode="General">
                  <c:v>4</c:v>
                </c:pt>
                <c:pt idx="19" c:formatCode="General">
                  <c:v>5</c:v>
                </c:pt>
                <c:pt idx="20" c:formatCode="General">
                  <c:v>5</c:v>
                </c:pt>
                <c:pt idx="21" c:formatCode="General">
                  <c:v>-4</c:v>
                </c:pt>
                <c:pt idx="22" c:formatCode="General">
                  <c:v>-2</c:v>
                </c:pt>
                <c:pt idx="23" c:formatCode="General">
                  <c:v>-3</c:v>
                </c:pt>
                <c:pt idx="24" c:formatCode="General">
                  <c:v>-4</c:v>
                </c:pt>
                <c:pt idx="25" c:formatCode="General">
                  <c:v>-2</c:v>
                </c:pt>
                <c:pt idx="26" c:formatCode="General">
                  <c:v>-4</c:v>
                </c:pt>
                <c:pt idx="27" c:formatCode="General">
                  <c:v>-8</c:v>
                </c:pt>
                <c:pt idx="28" c:formatCode="General">
                  <c:v>0</c:v>
                </c:pt>
                <c:pt idx="29" c:formatCode="General">
                  <c:v>0</c:v>
                </c:pt>
                <c:pt idx="30" c:formatCode="General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1月</c:v>
                </c:pt>
              </c:strCache>
            </c:strRef>
          </c:tx>
          <c:spPr>
            <a:noFill/>
            <a:ln w="28575">
              <a:solidFill>
                <a:schemeClr val="accent2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 c:formatCode="General">
                  <c:v>-1</c:v>
                </c:pt>
                <c:pt idx="1" c:formatCode="General">
                  <c:v>0</c:v>
                </c:pt>
                <c:pt idx="2" c:formatCode="General">
                  <c:v>-3</c:v>
                </c:pt>
                <c:pt idx="3" c:formatCode="General">
                  <c:v>-1</c:v>
                </c:pt>
                <c:pt idx="4" c:formatCode="General">
                  <c:v>-3</c:v>
                </c:pt>
                <c:pt idx="5" c:formatCode="General">
                  <c:v>-4</c:v>
                </c:pt>
                <c:pt idx="6" c:formatCode="General">
                  <c:v>-4</c:v>
                </c:pt>
                <c:pt idx="7" c:formatCode="General">
                  <c:v>-2</c:v>
                </c:pt>
                <c:pt idx="8" c:formatCode="General">
                  <c:v>-4</c:v>
                </c:pt>
                <c:pt idx="9" c:formatCode="General">
                  <c:v>0</c:v>
                </c:pt>
                <c:pt idx="10" c:formatCode="General">
                  <c:v>-4</c:v>
                </c:pt>
                <c:pt idx="11" c:formatCode="General">
                  <c:v>-6</c:v>
                </c:pt>
                <c:pt idx="12" c:formatCode="General">
                  <c:v>1</c:v>
                </c:pt>
                <c:pt idx="13" c:formatCode="General">
                  <c:v>-2</c:v>
                </c:pt>
                <c:pt idx="14" c:formatCode="General">
                  <c:v>-9</c:v>
                </c:pt>
                <c:pt idx="15" c:formatCode="General">
                  <c:v>0</c:v>
                </c:pt>
                <c:pt idx="16" c:formatCode="General">
                  <c:v>-5</c:v>
                </c:pt>
                <c:pt idx="17" c:formatCode="General">
                  <c:v>-1</c:v>
                </c:pt>
                <c:pt idx="18" c:formatCode="General">
                  <c:v>2</c:v>
                </c:pt>
                <c:pt idx="19" c:formatCode="General">
                  <c:v>-1</c:v>
                </c:pt>
                <c:pt idx="20" c:formatCode="General">
                  <c:v>3</c:v>
                </c:pt>
                <c:pt idx="21" c:formatCode="General">
                  <c:v>-2</c:v>
                </c:pt>
                <c:pt idx="22" c:formatCode="General">
                  <c:v>-3</c:v>
                </c:pt>
                <c:pt idx="23" c:formatCode="General">
                  <c:v>-1</c:v>
                </c:pt>
                <c:pt idx="24" c:formatCode="General">
                  <c:v>7</c:v>
                </c:pt>
                <c:pt idx="25" c:formatCode="General">
                  <c:v>0</c:v>
                </c:pt>
                <c:pt idx="26" c:formatCode="General">
                  <c:v>-2</c:v>
                </c:pt>
                <c:pt idx="27" c:formatCode="General">
                  <c:v>-3</c:v>
                </c:pt>
                <c:pt idx="28" c:formatCode="General">
                  <c:v>3</c:v>
                </c:pt>
                <c:pt idx="29" c:formatCode="General">
                  <c:v>0</c:v>
                </c:pt>
                <c:pt idx="30" c:formatCode="General">
                  <c:v>2</c:v>
                </c:pt>
              </c:numCache>
            </c:numRef>
          </c:val>
          <c:smooth val="0"/>
        </c:ser>
        <c:dLbls>
          <c:dLblPos val="r"/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3937664"/>
        <c:axId val="34045952"/>
      </c:lineChart>
      <c:catAx>
        <c:axId val="339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sz="1000" b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4045952"/>
        <c:crosses val="autoZero"/>
        <c:auto val="1"/>
        <c:lblAlgn val="ctr"/>
        <c:lblOffset val="100"/>
        <c:tickMarkSkip val="1"/>
        <c:noMultiLvlLbl val="0"/>
      </c:catAx>
      <c:valAx>
        <c:axId val="34045952"/>
        <c:scaling>
          <c:orientation val="minMax"/>
        </c:scaling>
        <c:delete val="0"/>
        <c:axPos val="l"/>
        <c:majorGridlines>
          <c:spPr>
            <a:noFill/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sz="1000" b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39376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sz="1000" b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</a:schemeClr>
      </a:solidFill>
      <a:prstDash val="solid"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12月</c:v>
                </c:pt>
              </c:strCache>
            </c:strRef>
          </c:tx>
          <c:spPr>
            <a:noFill/>
            <a:ln w="28575">
              <a:solidFill>
                <a:schemeClr val="accent1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 c:formatCode="General">
                  <c:v>145</c:v>
                </c:pt>
                <c:pt idx="1" c:formatCode="General">
                  <c:v>47</c:v>
                </c:pt>
                <c:pt idx="2" c:formatCode="General">
                  <c:v>59</c:v>
                </c:pt>
                <c:pt idx="3" c:formatCode="General">
                  <c:v>52</c:v>
                </c:pt>
                <c:pt idx="4" c:formatCode="General">
                  <c:v>90</c:v>
                </c:pt>
                <c:pt idx="5" c:formatCode="General">
                  <c:v>20</c:v>
                </c:pt>
                <c:pt idx="6" c:formatCode="General">
                  <c:v>55</c:v>
                </c:pt>
                <c:pt idx="7" c:formatCode="General">
                  <c:v>61</c:v>
                </c:pt>
                <c:pt idx="8" c:formatCode="General">
                  <c:v>47</c:v>
                </c:pt>
                <c:pt idx="9" c:formatCode="General">
                  <c:v>43</c:v>
                </c:pt>
                <c:pt idx="10" c:formatCode="General">
                  <c:v>58</c:v>
                </c:pt>
                <c:pt idx="11" c:formatCode="General">
                  <c:v>66</c:v>
                </c:pt>
                <c:pt idx="12" c:formatCode="General">
                  <c:v>67</c:v>
                </c:pt>
                <c:pt idx="13" c:formatCode="General">
                  <c:v>73</c:v>
                </c:pt>
                <c:pt idx="14" c:formatCode="General">
                  <c:v>53</c:v>
                </c:pt>
                <c:pt idx="15" c:formatCode="General">
                  <c:v>70</c:v>
                </c:pt>
                <c:pt idx="16" c:formatCode="General">
                  <c:v>86</c:v>
                </c:pt>
                <c:pt idx="17" c:formatCode="General">
                  <c:v>88</c:v>
                </c:pt>
                <c:pt idx="18" c:formatCode="General">
                  <c:v>84</c:v>
                </c:pt>
                <c:pt idx="19" c:formatCode="General">
                  <c:v>72</c:v>
                </c:pt>
                <c:pt idx="20" c:formatCode="General">
                  <c:v>87</c:v>
                </c:pt>
                <c:pt idx="21" c:formatCode="General">
                  <c:v>32</c:v>
                </c:pt>
                <c:pt idx="22" c:formatCode="General">
                  <c:v>78</c:v>
                </c:pt>
                <c:pt idx="23" c:formatCode="General">
                  <c:v>76</c:v>
                </c:pt>
                <c:pt idx="24" c:formatCode="General">
                  <c:v>56</c:v>
                </c:pt>
                <c:pt idx="25" c:formatCode="General">
                  <c:v>17</c:v>
                </c:pt>
                <c:pt idx="26" c:formatCode="General">
                  <c:v>61</c:v>
                </c:pt>
                <c:pt idx="27" c:formatCode="General">
                  <c:v>46</c:v>
                </c:pt>
                <c:pt idx="28" c:formatCode="General">
                  <c:v>65</c:v>
                </c:pt>
                <c:pt idx="29" c:formatCode="General">
                  <c:v>27</c:v>
                </c:pt>
                <c:pt idx="30" c:formatCode="General">
                  <c:v>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1月</c:v>
                </c:pt>
              </c:strCache>
            </c:strRef>
          </c:tx>
          <c:spPr>
            <a:noFill/>
            <a:ln w="28575">
              <a:solidFill>
                <a:schemeClr val="accent2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 c:formatCode="General">
                  <c:v>56</c:v>
                </c:pt>
                <c:pt idx="1" c:formatCode="General">
                  <c:v>51</c:v>
                </c:pt>
                <c:pt idx="2" c:formatCode="General">
                  <c:v>51</c:v>
                </c:pt>
                <c:pt idx="3" c:formatCode="General">
                  <c:v>32</c:v>
                </c:pt>
                <c:pt idx="4" c:formatCode="General">
                  <c:v>46</c:v>
                </c:pt>
                <c:pt idx="5" c:formatCode="General">
                  <c:v>50</c:v>
                </c:pt>
                <c:pt idx="6" c:formatCode="General">
                  <c:v>42</c:v>
                </c:pt>
                <c:pt idx="7" c:formatCode="General">
                  <c:v>44</c:v>
                </c:pt>
                <c:pt idx="8" c:formatCode="General">
                  <c:v>18</c:v>
                </c:pt>
                <c:pt idx="9" c:formatCode="General">
                  <c:v>56</c:v>
                </c:pt>
                <c:pt idx="10" c:formatCode="General">
                  <c:v>19</c:v>
                </c:pt>
                <c:pt idx="11" c:formatCode="General">
                  <c:v>74</c:v>
                </c:pt>
                <c:pt idx="12" c:formatCode="General">
                  <c:v>57</c:v>
                </c:pt>
                <c:pt idx="13" c:formatCode="General">
                  <c:v>71</c:v>
                </c:pt>
                <c:pt idx="14" c:formatCode="General">
                  <c:v>57</c:v>
                </c:pt>
                <c:pt idx="15" c:formatCode="General">
                  <c:v>76</c:v>
                </c:pt>
                <c:pt idx="16" c:formatCode="General">
                  <c:v>53</c:v>
                </c:pt>
                <c:pt idx="17" c:formatCode="General">
                  <c:v>74</c:v>
                </c:pt>
                <c:pt idx="18" c:formatCode="General">
                  <c:v>59</c:v>
                </c:pt>
                <c:pt idx="19" c:formatCode="General">
                  <c:v>55</c:v>
                </c:pt>
                <c:pt idx="20" c:formatCode="General">
                  <c:v>44</c:v>
                </c:pt>
                <c:pt idx="21" c:formatCode="General">
                  <c:v>72</c:v>
                </c:pt>
                <c:pt idx="22" c:formatCode="General">
                  <c:v>72</c:v>
                </c:pt>
                <c:pt idx="23" c:formatCode="General">
                  <c:v>70</c:v>
                </c:pt>
                <c:pt idx="24" c:formatCode="General">
                  <c:v>93</c:v>
                </c:pt>
                <c:pt idx="25" c:formatCode="General">
                  <c:v>56</c:v>
                </c:pt>
                <c:pt idx="26" c:formatCode="General">
                  <c:v>49</c:v>
                </c:pt>
                <c:pt idx="27" c:formatCode="General">
                  <c:v>54</c:v>
                </c:pt>
                <c:pt idx="28" c:formatCode="General">
                  <c:v>54</c:v>
                </c:pt>
                <c:pt idx="29" c:formatCode="General">
                  <c:v>55</c:v>
                </c:pt>
                <c:pt idx="30" c:formatCode="General">
                  <c:v>32</c:v>
                </c:pt>
              </c:numCache>
            </c:numRef>
          </c:val>
          <c:smooth val="0"/>
        </c:ser>
        <c:dLbls>
          <c:dLblPos val="r"/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607552"/>
        <c:axId val="106334464"/>
      </c:lineChart>
      <c:catAx>
        <c:axId val="8960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06334464"/>
        <c:crosses val="autoZero"/>
        <c:auto val="1"/>
        <c:lblAlgn val="ctr"/>
        <c:lblOffset val="100"/>
        <c:tickMarkSkip val="1"/>
        <c:noMultiLvlLbl val="0"/>
      </c:catAx>
      <c:valAx>
        <c:axId val="106334464"/>
        <c:scaling>
          <c:orientation val="minMax"/>
        </c:scaling>
        <c:delete val="0"/>
        <c:axPos val="l"/>
        <c:majorGridlines>
          <c:spPr>
            <a:noFill/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960755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12月</c:v>
                </c:pt>
              </c:strCache>
            </c:strRef>
          </c:tx>
          <c:spPr>
            <a:noFill/>
            <a:ln w="28575">
              <a:solidFill>
                <a:schemeClr val="accent1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Sheet1!$B$2:$B$32</c:f>
              <c:numCache>
                <c:formatCode>General</c:formatCode>
                <c:ptCount val="31"/>
                <c:pt idx="0" c:formatCode="General">
                  <c:v>7670</c:v>
                </c:pt>
                <c:pt idx="1" c:formatCode="General">
                  <c:v>3509</c:v>
                </c:pt>
                <c:pt idx="2" c:formatCode="General">
                  <c:v>5477</c:v>
                </c:pt>
                <c:pt idx="3" c:formatCode="General">
                  <c:v>2965</c:v>
                </c:pt>
                <c:pt idx="4" c:formatCode="General">
                  <c:v>5994</c:v>
                </c:pt>
                <c:pt idx="5" c:formatCode="General">
                  <c:v>1410</c:v>
                </c:pt>
                <c:pt idx="6" c:formatCode="General">
                  <c:v>2632</c:v>
                </c:pt>
                <c:pt idx="7" c:formatCode="General">
                  <c:v>3523</c:v>
                </c:pt>
                <c:pt idx="8" c:formatCode="General">
                  <c:v>2742</c:v>
                </c:pt>
                <c:pt idx="9" c:formatCode="General">
                  <c:v>2116</c:v>
                </c:pt>
                <c:pt idx="10" c:formatCode="General">
                  <c:v>3036</c:v>
                </c:pt>
                <c:pt idx="11" c:formatCode="General">
                  <c:v>4814</c:v>
                </c:pt>
                <c:pt idx="12" c:formatCode="General">
                  <c:v>5172</c:v>
                </c:pt>
                <c:pt idx="13" c:formatCode="General">
                  <c:v>5385</c:v>
                </c:pt>
                <c:pt idx="14" c:formatCode="General">
                  <c:v>3858</c:v>
                </c:pt>
                <c:pt idx="15" c:formatCode="General">
                  <c:v>4376</c:v>
                </c:pt>
                <c:pt idx="16" c:formatCode="General">
                  <c:v>5528</c:v>
                </c:pt>
                <c:pt idx="17" c:formatCode="General">
                  <c:v>5884</c:v>
                </c:pt>
                <c:pt idx="18" c:formatCode="General">
                  <c:v>5962</c:v>
                </c:pt>
                <c:pt idx="19" c:formatCode="General">
                  <c:v>5682</c:v>
                </c:pt>
                <c:pt idx="20" c:formatCode="General">
                  <c:v>6007</c:v>
                </c:pt>
                <c:pt idx="21" c:formatCode="General">
                  <c:v>1591</c:v>
                </c:pt>
                <c:pt idx="22" c:formatCode="General">
                  <c:v>5037</c:v>
                </c:pt>
                <c:pt idx="23" c:formatCode="General">
                  <c:v>5954</c:v>
                </c:pt>
                <c:pt idx="24" c:formatCode="General">
                  <c:v>4924</c:v>
                </c:pt>
                <c:pt idx="25" c:formatCode="General">
                  <c:v>1486</c:v>
                </c:pt>
                <c:pt idx="26" c:formatCode="General">
                  <c:v>4475</c:v>
                </c:pt>
                <c:pt idx="27" c:formatCode="General">
                  <c:v>3954</c:v>
                </c:pt>
                <c:pt idx="28" c:formatCode="General">
                  <c:v>3968</c:v>
                </c:pt>
                <c:pt idx="29" c:formatCode="General">
                  <c:v>2642</c:v>
                </c:pt>
                <c:pt idx="30" c:formatCode="General">
                  <c:v>2813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1月</c:v>
                </c:pt>
              </c:strCache>
            </c:strRef>
          </c:tx>
          <c:spPr>
            <a:noFill/>
            <a:ln w="28575">
              <a:solidFill>
                <a:schemeClr val="accent2"/>
              </a:solidFill>
            </a:ln>
            <a:effectLst/>
          </c:spPr>
          <c:marker>
            <c:symbol val="none"/>
          </c:marker>
          <c:cat>
            <c:numRef>
              <c:f>Sheet1!$A$2:$A$32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Sheet1!$C$2:$C$32</c:f>
              <c:numCache>
                <c:formatCode>General</c:formatCode>
                <c:ptCount val="31"/>
                <c:pt idx="0" c:formatCode="General">
                  <c:v>4515</c:v>
                </c:pt>
                <c:pt idx="1" c:formatCode="General">
                  <c:v>3289</c:v>
                </c:pt>
                <c:pt idx="2" c:formatCode="General">
                  <c:v>4515</c:v>
                </c:pt>
                <c:pt idx="3" c:formatCode="General">
                  <c:v>4652</c:v>
                </c:pt>
                <c:pt idx="4" c:formatCode="General">
                  <c:v>2298</c:v>
                </c:pt>
                <c:pt idx="5" c:formatCode="General">
                  <c:v>2860</c:v>
                </c:pt>
                <c:pt idx="6" c:formatCode="General">
                  <c:v>3651</c:v>
                </c:pt>
                <c:pt idx="7" c:formatCode="General">
                  <c:v>2827</c:v>
                </c:pt>
                <c:pt idx="8" c:formatCode="General">
                  <c:v>4693</c:v>
                </c:pt>
                <c:pt idx="9" c:formatCode="General">
                  <c:v>1815</c:v>
                </c:pt>
                <c:pt idx="10" c:formatCode="General">
                  <c:v>3338</c:v>
                </c:pt>
                <c:pt idx="11" c:formatCode="General">
                  <c:v>4261</c:v>
                </c:pt>
                <c:pt idx="12" c:formatCode="General">
                  <c:v>4297</c:v>
                </c:pt>
                <c:pt idx="13" c:formatCode="General">
                  <c:v>5009</c:v>
                </c:pt>
                <c:pt idx="14" c:formatCode="General">
                  <c:v>4112</c:v>
                </c:pt>
                <c:pt idx="15" c:formatCode="General">
                  <c:v>4735</c:v>
                </c:pt>
                <c:pt idx="16" c:formatCode="General">
                  <c:v>4914</c:v>
                </c:pt>
                <c:pt idx="17" c:formatCode="General">
                  <c:v>5303</c:v>
                </c:pt>
                <c:pt idx="18" c:formatCode="General">
                  <c:v>4267</c:v>
                </c:pt>
                <c:pt idx="19" c:formatCode="General">
                  <c:v>4382</c:v>
                </c:pt>
                <c:pt idx="20" c:formatCode="General">
                  <c:v>5114</c:v>
                </c:pt>
                <c:pt idx="21" c:formatCode="General">
                  <c:v>5360</c:v>
                </c:pt>
                <c:pt idx="22" c:formatCode="General">
                  <c:v>5316</c:v>
                </c:pt>
                <c:pt idx="23" c:formatCode="General">
                  <c:v>5456</c:v>
                </c:pt>
                <c:pt idx="24" c:formatCode="General">
                  <c:v>5648</c:v>
                </c:pt>
                <c:pt idx="25" c:formatCode="General">
                  <c:v>4048</c:v>
                </c:pt>
                <c:pt idx="26" c:formatCode="General">
                  <c:v>4313</c:v>
                </c:pt>
                <c:pt idx="27" c:formatCode="General">
                  <c:v>3739</c:v>
                </c:pt>
                <c:pt idx="28" c:formatCode="General">
                  <c:v>4744</c:v>
                </c:pt>
                <c:pt idx="29" c:formatCode="General">
                  <c:v>4122</c:v>
                </c:pt>
                <c:pt idx="30" c:formatCode="General">
                  <c:v>2353</c:v>
                </c:pt>
              </c:numCache>
            </c:numRef>
          </c:val>
          <c:smooth val="0"/>
        </c:ser>
        <c:dLbls>
          <c:dLblPos val="r"/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4072832"/>
        <c:axId val="34131968"/>
      </c:lineChart>
      <c:catAx>
        <c:axId val="340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4131968"/>
        <c:crosses val="autoZero"/>
        <c:auto val="1"/>
        <c:lblAlgn val="ctr"/>
        <c:lblOffset val="100"/>
        <c:tickMarkSkip val="1"/>
        <c:noMultiLvlLbl val="0"/>
      </c:catAx>
      <c:valAx>
        <c:axId val="34131968"/>
        <c:scaling>
          <c:orientation val="minMax"/>
        </c:scaling>
        <c:delete val="0"/>
        <c:axPos val="l"/>
        <c:majorGridlines>
          <c:spPr>
            <a:noFill/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340728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2019-02-02T02:03:00Z</dcterms:created>
  <dc:creator>admin</dc:creator>
  <cp:lastModifiedBy>Administrator</cp:lastModifiedBy>
  <dcterms:modified xsi:type="dcterms:W3CDTF">2019-02-03T02:59:45Z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