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b/>
          <w:sz w:val="44"/>
          <w:szCs w:val="44"/>
        </w:rPr>
      </w:pPr>
      <w:r>
        <w:rPr>
          <w:rFonts w:hint="eastAsia"/>
          <w:b/>
          <w:sz w:val="44"/>
          <w:szCs w:val="44"/>
        </w:rPr>
        <w:t>太仓市人民政府</w:t>
      </w:r>
    </w:p>
    <w:p>
      <w:pPr>
        <w:spacing w:line="560" w:lineRule="exact"/>
        <w:rPr>
          <w:rFonts w:eastAsia="黑体"/>
          <w:sz w:val="44"/>
          <w:u w:val="thick"/>
        </w:rPr>
      </w:pPr>
      <w:r>
        <w:rPr>
          <w:rFonts w:eastAsia="黑体"/>
          <w:sz w:val="44"/>
          <w:u w:val="thick"/>
        </w:rPr>
        <w:t xml:space="preserve">                                      </w:t>
      </w:r>
    </w:p>
    <w:p>
      <w:pPr>
        <w:spacing w:line="560" w:lineRule="exact"/>
        <w:jc w:val="center"/>
        <w:rPr>
          <w:rFonts w:ascii="宋体"/>
          <w:b/>
          <w:bCs/>
          <w:sz w:val="36"/>
          <w:szCs w:val="36"/>
        </w:rPr>
      </w:pPr>
    </w:p>
    <w:p>
      <w:pPr>
        <w:spacing w:line="560" w:lineRule="exact"/>
        <w:jc w:val="center"/>
        <w:rPr>
          <w:rFonts w:ascii="宋体"/>
          <w:b/>
          <w:bCs/>
          <w:sz w:val="52"/>
          <w:szCs w:val="52"/>
        </w:rPr>
      </w:pPr>
      <w:r>
        <w:rPr>
          <w:rFonts w:hint="eastAsia" w:ascii="宋体" w:hAnsi="宋体"/>
          <w:b/>
          <w:bCs/>
          <w:sz w:val="52"/>
          <w:szCs w:val="52"/>
        </w:rPr>
        <w:t>行政复议决定书</w:t>
      </w:r>
    </w:p>
    <w:p>
      <w:pPr>
        <w:topLinePunct/>
        <w:spacing w:line="580" w:lineRule="exact"/>
        <w:rPr>
          <w:rFonts w:ascii="仿宋_GB2312" w:hAnsi="宋体" w:eastAsia="仿宋_GB2312"/>
          <w:bCs/>
          <w:kern w:val="32"/>
          <w:sz w:val="32"/>
          <w:szCs w:val="32"/>
        </w:rPr>
      </w:pPr>
    </w:p>
    <w:p>
      <w:pPr>
        <w:topLinePunct/>
        <w:spacing w:line="580" w:lineRule="exact"/>
        <w:ind w:firstLine="4800" w:firstLineChars="1500"/>
        <w:rPr>
          <w:rFonts w:ascii="仿宋" w:hAnsi="仿宋" w:eastAsia="仿宋"/>
          <w:bCs/>
          <w:kern w:val="32"/>
          <w:sz w:val="32"/>
          <w:szCs w:val="32"/>
        </w:rPr>
      </w:pPr>
      <w:r>
        <w:rPr>
          <w:rFonts w:hint="eastAsia" w:ascii="仿宋" w:hAnsi="仿宋" w:eastAsia="仿宋"/>
          <w:bCs/>
          <w:kern w:val="32"/>
          <w:sz w:val="32"/>
          <w:szCs w:val="32"/>
        </w:rPr>
        <w:t>〔</w:t>
      </w:r>
      <w:r>
        <w:rPr>
          <w:rFonts w:ascii="仿宋" w:hAnsi="仿宋" w:eastAsia="仿宋"/>
          <w:bCs/>
          <w:kern w:val="32"/>
          <w:sz w:val="32"/>
          <w:szCs w:val="32"/>
        </w:rPr>
        <w:t>2019</w:t>
      </w:r>
      <w:r>
        <w:rPr>
          <w:rFonts w:hint="eastAsia" w:ascii="仿宋" w:hAnsi="仿宋" w:eastAsia="仿宋"/>
          <w:bCs/>
          <w:kern w:val="32"/>
          <w:sz w:val="32"/>
          <w:szCs w:val="32"/>
        </w:rPr>
        <w:t>〕太府行复第</w:t>
      </w:r>
      <w:r>
        <w:rPr>
          <w:rFonts w:ascii="仿宋" w:hAnsi="仿宋" w:eastAsia="仿宋"/>
          <w:bCs/>
          <w:kern w:val="32"/>
          <w:sz w:val="32"/>
          <w:szCs w:val="32"/>
        </w:rPr>
        <w:t>19</w:t>
      </w:r>
      <w:r>
        <w:rPr>
          <w:rFonts w:hint="eastAsia" w:ascii="仿宋" w:hAnsi="仿宋" w:eastAsia="仿宋"/>
          <w:bCs/>
          <w:kern w:val="32"/>
          <w:sz w:val="32"/>
          <w:szCs w:val="32"/>
        </w:rPr>
        <w:t>号</w:t>
      </w:r>
    </w:p>
    <w:p>
      <w:pPr>
        <w:topLinePunct/>
        <w:spacing w:line="580" w:lineRule="exact"/>
        <w:rPr>
          <w:rFonts w:ascii="仿宋" w:hAnsi="仿宋" w:eastAsia="仿宋"/>
          <w:bCs/>
          <w:kern w:val="32"/>
          <w:sz w:val="32"/>
          <w:szCs w:val="32"/>
        </w:rPr>
      </w:pPr>
    </w:p>
    <w:p>
      <w:pPr>
        <w:topLinePunct/>
        <w:spacing w:line="580" w:lineRule="exact"/>
        <w:ind w:firstLine="640" w:firstLineChars="200"/>
        <w:rPr>
          <w:rFonts w:ascii="仿宋" w:hAnsi="仿宋" w:eastAsia="仿宋"/>
          <w:bCs/>
          <w:kern w:val="32"/>
          <w:sz w:val="32"/>
          <w:szCs w:val="32"/>
        </w:rPr>
      </w:pPr>
      <w:r>
        <w:rPr>
          <w:rFonts w:hint="eastAsia" w:ascii="仿宋" w:hAnsi="仿宋" w:eastAsia="仿宋"/>
          <w:bCs/>
          <w:kern w:val="32"/>
          <w:sz w:val="32"/>
          <w:szCs w:val="32"/>
        </w:rPr>
        <w:t>申请人：张</w:t>
      </w:r>
      <w:r>
        <w:rPr>
          <w:rFonts w:hint="eastAsia" w:ascii="仿宋" w:hAnsi="仿宋" w:eastAsia="仿宋"/>
          <w:bCs/>
          <w:kern w:val="32"/>
          <w:sz w:val="32"/>
          <w:szCs w:val="32"/>
          <w:lang w:eastAsia="zh-CN"/>
        </w:rPr>
        <w:t>某</w:t>
      </w:r>
      <w:r>
        <w:rPr>
          <w:rFonts w:hint="eastAsia" w:ascii="仿宋" w:hAnsi="仿宋" w:eastAsia="仿宋"/>
          <w:bCs/>
          <w:kern w:val="32"/>
          <w:sz w:val="32"/>
          <w:szCs w:val="32"/>
        </w:rPr>
        <w:t>。</w:t>
      </w:r>
    </w:p>
    <w:p>
      <w:pPr>
        <w:topLinePunct/>
        <w:spacing w:line="580" w:lineRule="exact"/>
        <w:ind w:firstLine="640" w:firstLineChars="200"/>
        <w:rPr>
          <w:rFonts w:ascii="仿宋" w:hAnsi="仿宋" w:eastAsia="仿宋"/>
          <w:bCs/>
          <w:kern w:val="32"/>
          <w:sz w:val="32"/>
          <w:szCs w:val="32"/>
        </w:rPr>
      </w:pPr>
      <w:r>
        <w:rPr>
          <w:rFonts w:hint="eastAsia" w:ascii="仿宋" w:hAnsi="仿宋" w:eastAsia="仿宋"/>
          <w:bCs/>
          <w:kern w:val="32"/>
          <w:sz w:val="32"/>
          <w:szCs w:val="32"/>
        </w:rPr>
        <w:t>被申请人：太仓市自然资源和规划局。</w:t>
      </w:r>
    </w:p>
    <w:p>
      <w:pPr>
        <w:topLinePunct/>
        <w:spacing w:line="580" w:lineRule="exact"/>
        <w:ind w:firstLine="640" w:firstLineChars="200"/>
        <w:rPr>
          <w:rFonts w:ascii="仿宋" w:hAnsi="仿宋" w:eastAsia="仿宋"/>
          <w:bCs/>
          <w:kern w:val="32"/>
          <w:sz w:val="32"/>
          <w:szCs w:val="32"/>
        </w:rPr>
      </w:pPr>
      <w:r>
        <w:rPr>
          <w:rFonts w:hint="eastAsia" w:ascii="仿宋" w:hAnsi="仿宋" w:eastAsia="仿宋"/>
          <w:bCs/>
          <w:kern w:val="32"/>
          <w:sz w:val="32"/>
          <w:szCs w:val="32"/>
        </w:rPr>
        <w:t>申请人对被申请人太仓市住房和城乡建设局的城乡规划管理不服，于</w:t>
      </w:r>
      <w:r>
        <w:rPr>
          <w:rFonts w:ascii="仿宋" w:hAnsi="仿宋" w:eastAsia="仿宋"/>
          <w:bCs/>
          <w:kern w:val="32"/>
          <w:sz w:val="32"/>
          <w:szCs w:val="32"/>
        </w:rPr>
        <w:t>2019</w:t>
      </w:r>
      <w:r>
        <w:rPr>
          <w:rFonts w:hint="eastAsia" w:ascii="仿宋" w:hAnsi="仿宋" w:eastAsia="仿宋"/>
          <w:bCs/>
          <w:kern w:val="32"/>
          <w:sz w:val="32"/>
          <w:szCs w:val="32"/>
        </w:rPr>
        <w:t>年</w:t>
      </w:r>
      <w:r>
        <w:rPr>
          <w:rFonts w:ascii="仿宋" w:hAnsi="仿宋" w:eastAsia="仿宋"/>
          <w:bCs/>
          <w:kern w:val="32"/>
          <w:sz w:val="32"/>
          <w:szCs w:val="32"/>
        </w:rPr>
        <w:t>2</w:t>
      </w:r>
      <w:r>
        <w:rPr>
          <w:rFonts w:hint="eastAsia" w:ascii="仿宋" w:hAnsi="仿宋" w:eastAsia="仿宋"/>
          <w:bCs/>
          <w:kern w:val="32"/>
          <w:sz w:val="32"/>
          <w:szCs w:val="32"/>
        </w:rPr>
        <w:t>月</w:t>
      </w:r>
      <w:r>
        <w:rPr>
          <w:rFonts w:ascii="仿宋" w:hAnsi="仿宋" w:eastAsia="仿宋"/>
          <w:bCs/>
          <w:kern w:val="32"/>
          <w:sz w:val="32"/>
          <w:szCs w:val="32"/>
        </w:rPr>
        <w:t>19</w:t>
      </w:r>
      <w:r>
        <w:rPr>
          <w:rFonts w:hint="eastAsia" w:ascii="仿宋" w:hAnsi="仿宋" w:eastAsia="仿宋"/>
          <w:bCs/>
          <w:kern w:val="32"/>
          <w:sz w:val="32"/>
          <w:szCs w:val="32"/>
        </w:rPr>
        <w:t>日向本机关申请行政复议，</w:t>
      </w:r>
      <w:r>
        <w:rPr>
          <w:rFonts w:ascii="仿宋" w:hAnsi="仿宋" w:eastAsia="仿宋"/>
          <w:bCs/>
          <w:kern w:val="32"/>
          <w:sz w:val="32"/>
          <w:szCs w:val="32"/>
        </w:rPr>
        <w:t>2</w:t>
      </w:r>
      <w:r>
        <w:rPr>
          <w:rFonts w:hint="eastAsia" w:ascii="仿宋" w:hAnsi="仿宋" w:eastAsia="仿宋"/>
          <w:bCs/>
          <w:kern w:val="32"/>
          <w:sz w:val="32"/>
          <w:szCs w:val="32"/>
        </w:rPr>
        <w:t>月</w:t>
      </w:r>
      <w:r>
        <w:rPr>
          <w:rFonts w:ascii="仿宋" w:hAnsi="仿宋" w:eastAsia="仿宋"/>
          <w:bCs/>
          <w:kern w:val="32"/>
          <w:sz w:val="32"/>
          <w:szCs w:val="32"/>
        </w:rPr>
        <w:t>28</w:t>
      </w:r>
      <w:r>
        <w:rPr>
          <w:rFonts w:hint="eastAsia" w:ascii="仿宋" w:hAnsi="仿宋" w:eastAsia="仿宋"/>
          <w:bCs/>
          <w:kern w:val="32"/>
          <w:sz w:val="32"/>
          <w:szCs w:val="32"/>
        </w:rPr>
        <w:t>日提交补正材料，本机关依法予以受理。</w:t>
      </w:r>
      <w:r>
        <w:rPr>
          <w:rFonts w:hint="eastAsia" w:ascii="仿宋" w:hAnsi="仿宋_GB2312" w:eastAsia="仿宋" w:cs="仿宋_GB2312"/>
          <w:kern w:val="32"/>
          <w:sz w:val="32"/>
          <w:szCs w:val="32"/>
        </w:rPr>
        <w:t>因机构改革，</w:t>
      </w:r>
      <w:r>
        <w:rPr>
          <w:rFonts w:hint="eastAsia" w:ascii="仿宋" w:hAnsi="仿宋" w:eastAsia="仿宋"/>
          <w:bCs/>
          <w:kern w:val="32"/>
          <w:sz w:val="32"/>
          <w:szCs w:val="32"/>
        </w:rPr>
        <w:t>太仓市住房和城乡建设局的城乡规划管理职责划入太仓市自然资源和规划局，本机关依法将被申请人变更为太仓市自然资源和规划局。现已审理终结。</w:t>
      </w:r>
    </w:p>
    <w:p>
      <w:pPr>
        <w:topLinePunct/>
        <w:spacing w:line="580" w:lineRule="exact"/>
        <w:ind w:firstLine="640" w:firstLineChars="200"/>
        <w:rPr>
          <w:rFonts w:hint="eastAsia" w:ascii="仿宋" w:hAnsi="仿宋" w:eastAsia="仿宋"/>
          <w:bCs/>
          <w:kern w:val="32"/>
          <w:sz w:val="32"/>
          <w:szCs w:val="32"/>
        </w:rPr>
      </w:pPr>
      <w:r>
        <w:rPr>
          <w:rFonts w:hint="eastAsia" w:ascii="仿宋" w:hAnsi="仿宋" w:eastAsia="仿宋"/>
          <w:bCs/>
          <w:kern w:val="32"/>
          <w:sz w:val="32"/>
          <w:szCs w:val="32"/>
        </w:rPr>
        <w:t>申请人请求：对太仓市住房和城乡建设局对雅鹿</w:t>
      </w:r>
      <w:r>
        <w:rPr>
          <w:rFonts w:hint="eastAsia" w:ascii="仿宋" w:hAnsi="仿宋" w:eastAsia="仿宋"/>
          <w:bCs/>
          <w:kern w:val="32"/>
          <w:sz w:val="32"/>
          <w:szCs w:val="32"/>
          <w:lang w:val="en-US" w:eastAsia="zh-CN"/>
        </w:rPr>
        <w:t>XX幢XX</w:t>
      </w:r>
      <w:r>
        <w:rPr>
          <w:rFonts w:hint="eastAsia" w:ascii="仿宋" w:hAnsi="仿宋" w:eastAsia="仿宋"/>
          <w:bCs/>
          <w:kern w:val="32"/>
          <w:sz w:val="32"/>
          <w:szCs w:val="32"/>
        </w:rPr>
        <w:t>室所搭建的铝合金阳光房属违法建设的</w:t>
      </w:r>
      <w:r>
        <w:rPr>
          <w:rFonts w:hint="eastAsia" w:ascii="仿宋" w:hAnsi="仿宋" w:eastAsia="仿宋"/>
          <w:bCs/>
          <w:kern w:val="32"/>
          <w:sz w:val="32"/>
          <w:szCs w:val="32"/>
        </w:rPr>
        <w:t>在建建设规划认定书（文书编号：1900088</w:t>
      </w:r>
      <w:r>
        <w:rPr>
          <w:rFonts w:hint="eastAsia" w:ascii="仿宋" w:hAnsi="仿宋" w:eastAsia="仿宋"/>
          <w:bCs/>
          <w:kern w:val="32"/>
          <w:sz w:val="32"/>
          <w:szCs w:val="32"/>
        </w:rPr>
        <w:t>）做撤销处理</w:t>
      </w:r>
      <w:r>
        <w:rPr>
          <w:rFonts w:hint="eastAsia" w:ascii="仿宋" w:hAnsi="仿宋" w:eastAsia="仿宋"/>
          <w:bCs/>
          <w:kern w:val="32"/>
          <w:sz w:val="32"/>
          <w:szCs w:val="32"/>
        </w:rPr>
        <w:t>。</w:t>
      </w:r>
    </w:p>
    <w:p>
      <w:pPr>
        <w:topLinePunct/>
        <w:spacing w:line="580" w:lineRule="exact"/>
        <w:ind w:firstLine="640" w:firstLineChars="200"/>
        <w:rPr>
          <w:rFonts w:hint="eastAsia" w:ascii="仿宋" w:hAnsi="仿宋" w:eastAsia="仿宋"/>
          <w:bCs/>
          <w:kern w:val="32"/>
          <w:sz w:val="32"/>
          <w:szCs w:val="32"/>
        </w:rPr>
      </w:pPr>
      <w:r>
        <w:rPr>
          <w:rFonts w:hint="eastAsia" w:ascii="仿宋" w:hAnsi="仿宋" w:eastAsia="仿宋"/>
          <w:bCs/>
          <w:kern w:val="32"/>
          <w:sz w:val="32"/>
          <w:szCs w:val="32"/>
        </w:rPr>
        <w:t>申请人称：2018年5月份，雅鹿臻园联排业主联合到太仓市信访局反映装修情况(也是因为现浇及搭建阳光房问题)，后城管局和住建局领导以及开发商领导均到现场，并一起见证和商议装修的问题，并现场达成一致意见：别墅阳台现浇不允许，用铝合金做可以。在2018年，城管组织了几次雅鹿臻园违建的强行拆除，其中联排</w:t>
      </w:r>
      <w:r>
        <w:rPr>
          <w:rFonts w:hint="eastAsia" w:ascii="仿宋" w:hAnsi="仿宋" w:eastAsia="仿宋"/>
          <w:bCs/>
          <w:kern w:val="32"/>
          <w:sz w:val="32"/>
          <w:szCs w:val="32"/>
          <w:lang w:eastAsia="zh-CN"/>
        </w:rPr>
        <w:t>别墅</w:t>
      </w:r>
      <w:r>
        <w:rPr>
          <w:rFonts w:hint="eastAsia" w:ascii="仿宋" w:hAnsi="仿宋" w:eastAsia="仿宋"/>
          <w:bCs/>
          <w:kern w:val="32"/>
          <w:sz w:val="32"/>
          <w:szCs w:val="32"/>
        </w:rPr>
        <w:t>二、三楼的阳光房没有拆除，同时城管网格员也定期到小区检査，并没有告知我们这是违建或者进行阻止，说明我们的搭建是请示了相关政府机构并在政府职能部门的正常监管下进行的，是符合程序的。现在我家已2018年12月前已经用铝合金封好了阳台，相关材料都已付款采购，施工费已付。但在2019年1月24目接到物业电话通知要求停工，2019年2月14日收到城管局通知要求我们拆除已搭好的二楼、三楼的铝合金，说属于违建。我们所搭建的铝合金在房产证红线图以内，并未超出范围，没有占用公共区域，符合物权法的相关规定。我们搭建的阳光房不改变房屋现承重结构和总体格局，没有改变其混凝土结构的本质属性，这种搭建的阳光房不在法律上所规定的建筑物的法律定义范畴内，所以，也谈不上违建。</w:t>
      </w:r>
    </w:p>
    <w:p>
      <w:pPr>
        <w:topLinePunct/>
        <w:spacing w:line="580" w:lineRule="exact"/>
        <w:ind w:firstLine="640" w:firstLineChars="200"/>
        <w:rPr>
          <w:rFonts w:hint="eastAsia" w:ascii="仿宋" w:hAnsi="仿宋" w:eastAsia="仿宋"/>
          <w:bCs/>
          <w:kern w:val="32"/>
          <w:sz w:val="32"/>
          <w:szCs w:val="32"/>
        </w:rPr>
      </w:pPr>
      <w:r>
        <w:rPr>
          <w:rFonts w:hint="eastAsia" w:ascii="仿宋" w:hAnsi="仿宋" w:eastAsia="仿宋"/>
          <w:bCs/>
          <w:kern w:val="32"/>
          <w:sz w:val="32"/>
          <w:szCs w:val="32"/>
        </w:rPr>
        <w:t>申请人提供的证据材料有：</w:t>
      </w:r>
    </w:p>
    <w:p>
      <w:pPr>
        <w:topLinePunct/>
        <w:spacing w:line="580" w:lineRule="exact"/>
        <w:ind w:firstLine="640" w:firstLineChars="200"/>
        <w:rPr>
          <w:rFonts w:ascii="仿宋" w:hAnsi="仿宋" w:eastAsia="仿宋" w:cs="Arial"/>
          <w:kern w:val="32"/>
          <w:sz w:val="32"/>
          <w:szCs w:val="32"/>
        </w:rPr>
      </w:pPr>
      <w:r>
        <w:rPr>
          <w:rFonts w:ascii="仿宋" w:hAnsi="仿宋" w:eastAsia="仿宋" w:cs="Arial"/>
          <w:kern w:val="32"/>
          <w:sz w:val="32"/>
          <w:szCs w:val="32"/>
        </w:rPr>
        <w:t>1</w:t>
      </w:r>
      <w:r>
        <w:rPr>
          <w:rFonts w:hint="eastAsia" w:ascii="仿宋" w:hAnsi="仿宋" w:eastAsia="仿宋" w:cs="Arial"/>
          <w:kern w:val="32"/>
          <w:sz w:val="32"/>
          <w:szCs w:val="32"/>
        </w:rPr>
        <w:t>、在建建设规划认定书；</w:t>
      </w:r>
    </w:p>
    <w:p>
      <w:pPr>
        <w:topLinePunct/>
        <w:spacing w:line="580" w:lineRule="exact"/>
        <w:ind w:firstLine="640" w:firstLineChars="200"/>
        <w:rPr>
          <w:rFonts w:ascii="仿宋" w:hAnsi="仿宋" w:eastAsia="仿宋" w:cs="仿宋"/>
          <w:kern w:val="32"/>
          <w:sz w:val="32"/>
          <w:szCs w:val="32"/>
        </w:rPr>
      </w:pPr>
      <w:r>
        <w:rPr>
          <w:rFonts w:ascii="仿宋" w:hAnsi="仿宋" w:eastAsia="仿宋" w:cs="仿宋"/>
          <w:kern w:val="32"/>
          <w:sz w:val="32"/>
          <w:szCs w:val="32"/>
        </w:rPr>
        <w:t>2</w:t>
      </w:r>
      <w:r>
        <w:rPr>
          <w:rFonts w:hint="eastAsia" w:ascii="仿宋" w:hAnsi="仿宋" w:eastAsia="仿宋" w:cs="仿宋"/>
          <w:kern w:val="32"/>
          <w:sz w:val="32"/>
          <w:szCs w:val="32"/>
        </w:rPr>
        <w:t>、责令改正通知书；</w:t>
      </w:r>
    </w:p>
    <w:p>
      <w:pPr>
        <w:topLinePunct/>
        <w:spacing w:line="580" w:lineRule="exact"/>
        <w:ind w:firstLine="640" w:firstLineChars="200"/>
        <w:rPr>
          <w:rFonts w:ascii="仿宋" w:hAnsi="仿宋" w:eastAsia="仿宋" w:cs="仿宋"/>
          <w:kern w:val="32"/>
          <w:sz w:val="32"/>
          <w:szCs w:val="32"/>
        </w:rPr>
      </w:pPr>
      <w:r>
        <w:rPr>
          <w:rFonts w:ascii="仿宋" w:hAnsi="仿宋" w:eastAsia="仿宋" w:cs="仿宋"/>
          <w:kern w:val="32"/>
          <w:sz w:val="32"/>
          <w:szCs w:val="32"/>
        </w:rPr>
        <w:t>3</w:t>
      </w:r>
      <w:r>
        <w:rPr>
          <w:rFonts w:hint="eastAsia" w:ascii="仿宋" w:hAnsi="仿宋" w:eastAsia="仿宋" w:cs="仿宋"/>
          <w:kern w:val="32"/>
          <w:sz w:val="32"/>
          <w:szCs w:val="32"/>
        </w:rPr>
        <w:t>、铝合金门窗协议书（合同）。</w:t>
      </w:r>
    </w:p>
    <w:p>
      <w:pPr>
        <w:pStyle w:val="10"/>
        <w:topLinePunct/>
        <w:autoSpaceDE/>
        <w:autoSpaceDN/>
        <w:adjustRightInd/>
        <w:spacing w:line="580" w:lineRule="exact"/>
        <w:ind w:firstLine="640" w:firstLineChars="200"/>
        <w:jc w:val="both"/>
        <w:rPr>
          <w:rFonts w:ascii="仿宋" w:hAnsi="仿宋_GB2312" w:eastAsia="仿宋" w:cs="仿宋_GB2312"/>
          <w:kern w:val="32"/>
          <w:sz w:val="32"/>
          <w:szCs w:val="32"/>
        </w:rPr>
      </w:pPr>
      <w:r>
        <w:rPr>
          <w:rFonts w:hint="eastAsia" w:ascii="仿宋" w:hAnsi="仿宋" w:eastAsia="仿宋"/>
          <w:bCs/>
          <w:kern w:val="32"/>
          <w:sz w:val="32"/>
          <w:szCs w:val="32"/>
        </w:rPr>
        <w:t>被申请人答复称：一、被申请人作出的认定书是合理合法的，不存在应予撤销的情形。</w:t>
      </w:r>
      <w:r>
        <w:rPr>
          <w:rFonts w:hint="eastAsia" w:ascii="仿宋" w:hAnsi="仿宋" w:eastAsia="仿宋" w:cs="Arial"/>
          <w:kern w:val="32"/>
          <w:sz w:val="32"/>
          <w:szCs w:val="32"/>
        </w:rPr>
        <w:t>根据《城乡规划法》第四十条之规定，申请人搭建建筑物、构筑物应当取得城市规划主管部门的许可文件，但经查询，申请人搭建案涉建筑物确实未至被申请人处办理相关规划手续，被申请人的认定书内容表述是合理合法的，不存在应予撤销的情形。二、案涉认定书不具有强制执行力，对申请人的权利义务不产生实际影响。根据申请人在申请书中的表述“</w:t>
      </w:r>
      <w:r>
        <w:rPr>
          <w:rFonts w:ascii="仿宋" w:hAnsi="仿宋" w:eastAsia="仿宋" w:cs="Arial"/>
          <w:kern w:val="32"/>
          <w:sz w:val="32"/>
          <w:szCs w:val="32"/>
        </w:rPr>
        <w:t>2019</w:t>
      </w:r>
      <w:r>
        <w:rPr>
          <w:rFonts w:hint="eastAsia" w:ascii="仿宋" w:hAnsi="仿宋" w:eastAsia="仿宋" w:cs="Arial"/>
          <w:kern w:val="32"/>
          <w:sz w:val="32"/>
          <w:szCs w:val="32"/>
        </w:rPr>
        <w:t>年</w:t>
      </w:r>
      <w:r>
        <w:rPr>
          <w:rFonts w:ascii="仿宋" w:hAnsi="仿宋" w:eastAsia="仿宋" w:cs="Arial"/>
          <w:kern w:val="32"/>
          <w:sz w:val="32"/>
          <w:szCs w:val="32"/>
        </w:rPr>
        <w:t>2</w:t>
      </w:r>
      <w:r>
        <w:rPr>
          <w:rFonts w:hint="eastAsia" w:ascii="仿宋" w:hAnsi="仿宋" w:eastAsia="仿宋" w:cs="Arial"/>
          <w:kern w:val="32"/>
          <w:sz w:val="32"/>
          <w:szCs w:val="32"/>
        </w:rPr>
        <w:t>月</w:t>
      </w:r>
      <w:r>
        <w:rPr>
          <w:rFonts w:ascii="仿宋" w:hAnsi="仿宋" w:eastAsia="仿宋" w:cs="Arial"/>
          <w:kern w:val="32"/>
          <w:sz w:val="32"/>
          <w:szCs w:val="32"/>
        </w:rPr>
        <w:t>14</w:t>
      </w:r>
      <w:r>
        <w:rPr>
          <w:rFonts w:hint="eastAsia" w:ascii="仿宋" w:hAnsi="仿宋" w:eastAsia="仿宋" w:cs="Arial"/>
          <w:kern w:val="32"/>
          <w:sz w:val="32"/>
          <w:szCs w:val="32"/>
        </w:rPr>
        <w:t>日收到城管通知要求我们拆除已搭好的二楼、三楼的铝合金”可知，对申请人的权利义务产生实际影响的并非案涉认定书，案涉《认定书》仅是对申请人搭建建筑物是否至被申请人处办理规划手续的说明，不具有强制执行力，对申请人的权利义务并不产生实际影响。申请人的行政复议申请于法无据，请求复议机关依法驳回申请人的行政复议申请。</w:t>
      </w:r>
    </w:p>
    <w:p>
      <w:pPr>
        <w:topLinePunct/>
        <w:spacing w:line="580" w:lineRule="exact"/>
        <w:ind w:firstLine="640" w:firstLineChars="200"/>
        <w:rPr>
          <w:rFonts w:ascii="仿宋" w:hAnsi="仿宋" w:eastAsia="仿宋"/>
          <w:bCs/>
          <w:kern w:val="32"/>
          <w:sz w:val="32"/>
          <w:szCs w:val="32"/>
        </w:rPr>
      </w:pPr>
      <w:r>
        <w:rPr>
          <w:rFonts w:hint="eastAsia" w:ascii="仿宋" w:hAnsi="仿宋" w:eastAsia="仿宋"/>
          <w:bCs/>
          <w:kern w:val="32"/>
          <w:sz w:val="32"/>
          <w:szCs w:val="32"/>
        </w:rPr>
        <w:t>被申请人提供的证据有：</w:t>
      </w:r>
    </w:p>
    <w:p>
      <w:pPr>
        <w:pStyle w:val="10"/>
        <w:topLinePunct/>
        <w:autoSpaceDE/>
        <w:autoSpaceDN/>
        <w:adjustRightInd/>
        <w:spacing w:line="580" w:lineRule="exact"/>
        <w:ind w:firstLine="640" w:firstLineChars="200"/>
        <w:jc w:val="both"/>
        <w:rPr>
          <w:rFonts w:ascii="仿宋" w:hAnsi="仿宋" w:eastAsia="仿宋" w:cs="Arial"/>
          <w:kern w:val="32"/>
          <w:sz w:val="32"/>
          <w:szCs w:val="32"/>
        </w:rPr>
      </w:pPr>
      <w:r>
        <w:rPr>
          <w:rFonts w:ascii="仿宋" w:hAnsi="仿宋" w:eastAsia="仿宋" w:cs="Arial"/>
          <w:kern w:val="32"/>
          <w:sz w:val="32"/>
          <w:szCs w:val="32"/>
        </w:rPr>
        <w:t>1</w:t>
      </w:r>
      <w:r>
        <w:rPr>
          <w:rFonts w:hint="eastAsia" w:ascii="仿宋" w:hAnsi="仿宋" w:eastAsia="仿宋" w:cs="Arial"/>
          <w:kern w:val="32"/>
          <w:sz w:val="32"/>
          <w:szCs w:val="32"/>
        </w:rPr>
        <w:t>、现场检查笔录及照片；</w:t>
      </w:r>
    </w:p>
    <w:p>
      <w:pPr>
        <w:pStyle w:val="10"/>
        <w:topLinePunct/>
        <w:autoSpaceDE/>
        <w:autoSpaceDN/>
        <w:adjustRightInd/>
        <w:spacing w:line="580" w:lineRule="exact"/>
        <w:ind w:firstLine="640" w:firstLineChars="200"/>
        <w:jc w:val="both"/>
        <w:rPr>
          <w:rFonts w:ascii="仿宋" w:hAnsi="仿宋" w:eastAsia="仿宋" w:cs="Arial"/>
          <w:kern w:val="32"/>
          <w:sz w:val="32"/>
          <w:szCs w:val="32"/>
        </w:rPr>
      </w:pPr>
      <w:r>
        <w:rPr>
          <w:rFonts w:ascii="仿宋" w:hAnsi="仿宋" w:eastAsia="仿宋" w:cs="Arial"/>
          <w:kern w:val="32"/>
          <w:sz w:val="32"/>
          <w:szCs w:val="32"/>
        </w:rPr>
        <w:t>2</w:t>
      </w:r>
      <w:r>
        <w:rPr>
          <w:rFonts w:hint="eastAsia" w:ascii="仿宋" w:hAnsi="仿宋" w:eastAsia="仿宋" w:cs="Arial"/>
          <w:kern w:val="32"/>
          <w:sz w:val="32"/>
          <w:szCs w:val="32"/>
        </w:rPr>
        <w:t>、停工</w:t>
      </w:r>
      <w:r>
        <w:rPr>
          <w:rFonts w:ascii="仿宋" w:hAnsi="仿宋" w:eastAsia="仿宋" w:cs="Arial"/>
          <w:kern w:val="32"/>
          <w:sz w:val="32"/>
          <w:szCs w:val="32"/>
        </w:rPr>
        <w:t>(</w:t>
      </w:r>
      <w:r>
        <w:rPr>
          <w:rFonts w:hint="eastAsia" w:ascii="仿宋" w:hAnsi="仿宋" w:eastAsia="仿宋" w:cs="Arial"/>
          <w:kern w:val="32"/>
          <w:sz w:val="32"/>
          <w:szCs w:val="32"/>
        </w:rPr>
        <w:t>核查</w:t>
      </w:r>
      <w:r>
        <w:rPr>
          <w:rFonts w:ascii="仿宋" w:hAnsi="仿宋" w:eastAsia="仿宋" w:cs="Arial"/>
          <w:kern w:val="32"/>
          <w:sz w:val="32"/>
          <w:szCs w:val="32"/>
        </w:rPr>
        <w:t>)</w:t>
      </w:r>
      <w:r>
        <w:rPr>
          <w:rFonts w:hint="eastAsia" w:ascii="仿宋" w:hAnsi="仿宋" w:eastAsia="仿宋" w:cs="Arial"/>
          <w:kern w:val="32"/>
          <w:sz w:val="32"/>
          <w:szCs w:val="32"/>
        </w:rPr>
        <w:t>通知书及送达回证；</w:t>
      </w:r>
    </w:p>
    <w:p>
      <w:pPr>
        <w:pStyle w:val="10"/>
        <w:topLinePunct/>
        <w:autoSpaceDE/>
        <w:autoSpaceDN/>
        <w:adjustRightInd/>
        <w:spacing w:line="580" w:lineRule="exact"/>
        <w:ind w:firstLine="640" w:firstLineChars="200"/>
        <w:jc w:val="both"/>
        <w:rPr>
          <w:rFonts w:ascii="仿宋" w:hAnsi="仿宋" w:eastAsia="仿宋" w:cs="Arial"/>
          <w:kern w:val="32"/>
          <w:sz w:val="32"/>
          <w:szCs w:val="32"/>
        </w:rPr>
      </w:pPr>
      <w:r>
        <w:rPr>
          <w:rFonts w:ascii="仿宋" w:hAnsi="仿宋" w:eastAsia="仿宋" w:cs="Arial"/>
          <w:kern w:val="32"/>
          <w:sz w:val="32"/>
          <w:szCs w:val="32"/>
        </w:rPr>
        <w:t>3</w:t>
      </w:r>
      <w:r>
        <w:rPr>
          <w:rFonts w:hint="eastAsia" w:ascii="仿宋" w:hAnsi="仿宋" w:eastAsia="仿宋" w:cs="Arial"/>
          <w:kern w:val="32"/>
          <w:sz w:val="32"/>
          <w:szCs w:val="32"/>
        </w:rPr>
        <w:t>、房屋权属登记信息查询结果证明、房屋分户平面图；</w:t>
      </w:r>
    </w:p>
    <w:p>
      <w:pPr>
        <w:pStyle w:val="10"/>
        <w:topLinePunct/>
        <w:autoSpaceDE/>
        <w:autoSpaceDN/>
        <w:adjustRightInd/>
        <w:spacing w:line="580" w:lineRule="exact"/>
        <w:ind w:firstLine="640" w:firstLineChars="200"/>
        <w:jc w:val="both"/>
        <w:rPr>
          <w:rFonts w:ascii="仿宋" w:hAnsi="仿宋" w:eastAsia="仿宋" w:cs="Arial"/>
          <w:kern w:val="32"/>
          <w:sz w:val="32"/>
          <w:szCs w:val="32"/>
        </w:rPr>
      </w:pPr>
      <w:r>
        <w:rPr>
          <w:rFonts w:ascii="仿宋" w:hAnsi="仿宋" w:eastAsia="仿宋" w:cs="Arial"/>
          <w:kern w:val="32"/>
          <w:sz w:val="32"/>
          <w:szCs w:val="32"/>
        </w:rPr>
        <w:t>4</w:t>
      </w:r>
      <w:r>
        <w:rPr>
          <w:rFonts w:hint="eastAsia" w:ascii="仿宋" w:hAnsi="仿宋" w:eastAsia="仿宋" w:cs="Arial"/>
          <w:kern w:val="32"/>
          <w:sz w:val="32"/>
          <w:szCs w:val="32"/>
        </w:rPr>
        <w:t>、在建建设规划认定书。</w:t>
      </w:r>
    </w:p>
    <w:p>
      <w:pPr>
        <w:topLinePunct/>
        <w:spacing w:line="580" w:lineRule="exact"/>
        <w:ind w:firstLine="640" w:firstLineChars="200"/>
        <w:rPr>
          <w:rFonts w:ascii="仿宋" w:eastAsia="仿宋"/>
          <w:kern w:val="32"/>
          <w:sz w:val="32"/>
        </w:rPr>
      </w:pPr>
      <w:r>
        <w:rPr>
          <w:rFonts w:hint="eastAsia" w:ascii="仿宋" w:hAnsi="仿宋" w:eastAsia="仿宋"/>
          <w:bCs/>
          <w:kern w:val="32"/>
          <w:sz w:val="32"/>
          <w:szCs w:val="32"/>
        </w:rPr>
        <w:t>经审理查明：申请人为雅鹿臻园</w:t>
      </w:r>
      <w:r>
        <w:rPr>
          <w:rFonts w:hint="eastAsia" w:ascii="仿宋" w:hAnsi="仿宋" w:eastAsia="仿宋"/>
          <w:bCs/>
          <w:kern w:val="32"/>
          <w:sz w:val="32"/>
          <w:szCs w:val="32"/>
          <w:lang w:val="en-US" w:eastAsia="zh-CN"/>
        </w:rPr>
        <w:t>XX</w:t>
      </w:r>
      <w:r>
        <w:rPr>
          <w:rFonts w:hint="eastAsia" w:ascii="仿宋" w:hAnsi="仿宋" w:eastAsia="仿宋"/>
          <w:bCs/>
          <w:kern w:val="32"/>
          <w:sz w:val="32"/>
          <w:szCs w:val="32"/>
        </w:rPr>
        <w:t>幢</w:t>
      </w:r>
      <w:r>
        <w:rPr>
          <w:rFonts w:hint="eastAsia" w:ascii="仿宋" w:hAnsi="仿宋" w:eastAsia="仿宋"/>
          <w:bCs/>
          <w:kern w:val="32"/>
          <w:sz w:val="32"/>
          <w:szCs w:val="32"/>
          <w:lang w:val="en-US" w:eastAsia="zh-CN"/>
        </w:rPr>
        <w:t>XX</w:t>
      </w:r>
      <w:r>
        <w:rPr>
          <w:rFonts w:hint="eastAsia" w:ascii="仿宋" w:hAnsi="仿宋" w:eastAsia="仿宋"/>
          <w:bCs/>
          <w:kern w:val="32"/>
          <w:sz w:val="32"/>
          <w:szCs w:val="32"/>
        </w:rPr>
        <w:t>室所有权人。</w:t>
      </w:r>
      <w:r>
        <w:rPr>
          <w:rFonts w:ascii="仿宋" w:hAnsi="仿宋" w:eastAsia="仿宋"/>
          <w:bCs/>
          <w:kern w:val="32"/>
          <w:sz w:val="32"/>
          <w:szCs w:val="32"/>
        </w:rPr>
        <w:t>2019</w:t>
      </w:r>
      <w:r>
        <w:rPr>
          <w:rFonts w:hint="eastAsia" w:ascii="仿宋" w:hAnsi="仿宋" w:eastAsia="仿宋"/>
          <w:bCs/>
          <w:kern w:val="32"/>
          <w:sz w:val="32"/>
          <w:szCs w:val="32"/>
        </w:rPr>
        <w:t>年</w:t>
      </w:r>
      <w:r>
        <w:rPr>
          <w:rFonts w:ascii="仿宋" w:hAnsi="仿宋" w:eastAsia="仿宋"/>
          <w:bCs/>
          <w:kern w:val="32"/>
          <w:sz w:val="32"/>
          <w:szCs w:val="32"/>
        </w:rPr>
        <w:t>1</w:t>
      </w:r>
      <w:r>
        <w:rPr>
          <w:rFonts w:hint="eastAsia" w:ascii="仿宋" w:hAnsi="仿宋" w:eastAsia="仿宋"/>
          <w:bCs/>
          <w:kern w:val="32"/>
          <w:sz w:val="32"/>
          <w:szCs w:val="32"/>
        </w:rPr>
        <w:t>月</w:t>
      </w:r>
      <w:r>
        <w:rPr>
          <w:rFonts w:ascii="仿宋" w:hAnsi="仿宋" w:eastAsia="仿宋"/>
          <w:bCs/>
          <w:kern w:val="32"/>
          <w:sz w:val="32"/>
          <w:szCs w:val="32"/>
        </w:rPr>
        <w:t>24</w:t>
      </w:r>
      <w:r>
        <w:rPr>
          <w:rFonts w:hint="eastAsia" w:ascii="仿宋" w:hAnsi="仿宋" w:eastAsia="仿宋"/>
          <w:bCs/>
          <w:kern w:val="32"/>
          <w:sz w:val="32"/>
          <w:szCs w:val="32"/>
        </w:rPr>
        <w:t>日，太仓市城市管理行政执法局执法人员在检查中发现，太仓市雅鹿臻园</w:t>
      </w:r>
      <w:r>
        <w:rPr>
          <w:rFonts w:hint="eastAsia" w:ascii="仿宋" w:hAnsi="仿宋" w:eastAsia="仿宋"/>
          <w:bCs/>
          <w:kern w:val="32"/>
          <w:sz w:val="32"/>
          <w:szCs w:val="32"/>
          <w:lang w:val="en-US" w:eastAsia="zh-CN"/>
        </w:rPr>
        <w:t>XX</w:t>
      </w:r>
      <w:r>
        <w:rPr>
          <w:rFonts w:hint="eastAsia" w:ascii="仿宋" w:hAnsi="仿宋" w:eastAsia="仿宋"/>
          <w:bCs/>
          <w:kern w:val="32"/>
          <w:sz w:val="32"/>
          <w:szCs w:val="32"/>
        </w:rPr>
        <w:t>幢</w:t>
      </w:r>
      <w:r>
        <w:rPr>
          <w:rFonts w:hint="eastAsia" w:ascii="仿宋" w:hAnsi="仿宋" w:eastAsia="仿宋"/>
          <w:bCs/>
          <w:kern w:val="32"/>
          <w:sz w:val="32"/>
          <w:szCs w:val="32"/>
          <w:lang w:val="en-US" w:eastAsia="zh-CN"/>
        </w:rPr>
        <w:t>XX</w:t>
      </w:r>
      <w:r>
        <w:rPr>
          <w:rFonts w:hint="eastAsia" w:ascii="仿宋" w:hAnsi="仿宋" w:eastAsia="仿宋"/>
          <w:bCs/>
          <w:kern w:val="32"/>
          <w:sz w:val="32"/>
          <w:szCs w:val="32"/>
        </w:rPr>
        <w:t>室二楼和三楼西南侧平台上，存在用铝合金、玻璃等材料进行搭建的情况，面积合计</w:t>
      </w:r>
      <w:r>
        <w:rPr>
          <w:rFonts w:ascii="仿宋" w:hAnsi="仿宋" w:eastAsia="仿宋"/>
          <w:bCs/>
          <w:kern w:val="32"/>
          <w:sz w:val="32"/>
          <w:szCs w:val="32"/>
        </w:rPr>
        <w:t>20.4</w:t>
      </w:r>
      <w:r>
        <w:rPr>
          <w:rFonts w:hint="eastAsia" w:ascii="仿宋" w:hAnsi="仿宋" w:eastAsia="仿宋"/>
          <w:bCs/>
          <w:kern w:val="32"/>
          <w:sz w:val="32"/>
          <w:szCs w:val="32"/>
        </w:rPr>
        <w:t>平方米。后太仓市城市管理行政执法局将相关情况通报太仓市住房和城乡建设局。</w:t>
      </w:r>
      <w:r>
        <w:rPr>
          <w:rFonts w:ascii="仿宋" w:hAnsi="仿宋" w:eastAsia="仿宋"/>
          <w:bCs/>
          <w:kern w:val="32"/>
          <w:sz w:val="32"/>
          <w:szCs w:val="32"/>
        </w:rPr>
        <w:t>1</w:t>
      </w:r>
      <w:r>
        <w:rPr>
          <w:rFonts w:hint="eastAsia" w:ascii="仿宋" w:hAnsi="仿宋" w:eastAsia="仿宋"/>
          <w:bCs/>
          <w:kern w:val="32"/>
          <w:sz w:val="32"/>
          <w:szCs w:val="32"/>
        </w:rPr>
        <w:t>月</w:t>
      </w:r>
      <w:r>
        <w:rPr>
          <w:rFonts w:ascii="仿宋" w:hAnsi="仿宋" w:eastAsia="仿宋"/>
          <w:bCs/>
          <w:kern w:val="32"/>
          <w:sz w:val="32"/>
          <w:szCs w:val="32"/>
        </w:rPr>
        <w:t>31</w:t>
      </w:r>
      <w:r>
        <w:rPr>
          <w:rFonts w:hint="eastAsia" w:ascii="仿宋" w:hAnsi="仿宋" w:eastAsia="仿宋"/>
          <w:bCs/>
          <w:kern w:val="32"/>
          <w:sz w:val="32"/>
          <w:szCs w:val="32"/>
        </w:rPr>
        <w:t>日，太仓市住房和城乡建设局作出《在建建设规划认定书》（文书编号：</w:t>
      </w:r>
      <w:r>
        <w:rPr>
          <w:rFonts w:ascii="仿宋" w:hAnsi="仿宋" w:eastAsia="仿宋"/>
          <w:bCs/>
          <w:kern w:val="32"/>
          <w:sz w:val="32"/>
          <w:szCs w:val="32"/>
        </w:rPr>
        <w:t>1900088</w:t>
      </w:r>
      <w:r>
        <w:rPr>
          <w:rFonts w:hint="eastAsia" w:ascii="仿宋" w:hAnsi="仿宋" w:eastAsia="仿宋"/>
          <w:bCs/>
          <w:kern w:val="32"/>
          <w:sz w:val="32"/>
          <w:szCs w:val="32"/>
        </w:rPr>
        <w:t>），认定：“雅鹿臻园</w:t>
      </w:r>
      <w:r>
        <w:rPr>
          <w:rFonts w:hint="eastAsia" w:ascii="仿宋" w:hAnsi="仿宋" w:eastAsia="仿宋"/>
          <w:bCs/>
          <w:kern w:val="32"/>
          <w:sz w:val="32"/>
          <w:szCs w:val="32"/>
          <w:lang w:val="en-US" w:eastAsia="zh-CN"/>
        </w:rPr>
        <w:t>XX</w:t>
      </w:r>
      <w:r>
        <w:rPr>
          <w:rFonts w:hint="eastAsia" w:ascii="仿宋" w:hAnsi="仿宋" w:eastAsia="仿宋"/>
          <w:bCs/>
          <w:kern w:val="32"/>
          <w:sz w:val="32"/>
          <w:szCs w:val="32"/>
        </w:rPr>
        <w:t>幢</w:t>
      </w:r>
      <w:r>
        <w:rPr>
          <w:rFonts w:hint="eastAsia" w:ascii="仿宋" w:hAnsi="仿宋" w:eastAsia="仿宋"/>
          <w:bCs/>
          <w:kern w:val="32"/>
          <w:sz w:val="32"/>
          <w:szCs w:val="32"/>
          <w:lang w:val="en-US" w:eastAsia="zh-CN"/>
        </w:rPr>
        <w:t>XX</w:t>
      </w:r>
      <w:bookmarkStart w:id="0" w:name="_GoBack"/>
      <w:bookmarkEnd w:id="0"/>
      <w:r>
        <w:rPr>
          <w:rFonts w:hint="eastAsia" w:ascii="仿宋" w:hAnsi="仿宋" w:eastAsia="仿宋"/>
          <w:bCs/>
          <w:kern w:val="32"/>
          <w:sz w:val="32"/>
          <w:szCs w:val="32"/>
        </w:rPr>
        <w:t>室拟搭建的建筑物未办理建设工程规划许可证，属违法建设”。</w:t>
      </w:r>
    </w:p>
    <w:p>
      <w:pPr>
        <w:topLinePunct/>
        <w:spacing w:line="580" w:lineRule="exact"/>
        <w:ind w:firstLine="640" w:firstLineChars="200"/>
        <w:rPr>
          <w:rFonts w:ascii="仿宋" w:hAnsi="仿宋" w:eastAsia="仿宋"/>
          <w:bCs/>
          <w:kern w:val="32"/>
          <w:sz w:val="32"/>
          <w:szCs w:val="32"/>
        </w:rPr>
      </w:pPr>
      <w:r>
        <w:rPr>
          <w:rFonts w:hint="eastAsia" w:ascii="仿宋" w:hAnsi="仿宋" w:eastAsia="仿宋"/>
          <w:bCs/>
          <w:kern w:val="32"/>
          <w:sz w:val="32"/>
          <w:szCs w:val="32"/>
        </w:rPr>
        <w:t>上述事实有下列证据证实：</w:t>
      </w:r>
    </w:p>
    <w:p>
      <w:pPr>
        <w:topLinePunct/>
        <w:spacing w:line="580" w:lineRule="exact"/>
        <w:ind w:firstLine="640" w:firstLineChars="200"/>
        <w:rPr>
          <w:rFonts w:ascii="仿宋" w:hAnsi="仿宋" w:eastAsia="仿宋"/>
          <w:bCs/>
          <w:kern w:val="32"/>
          <w:sz w:val="32"/>
          <w:szCs w:val="32"/>
        </w:rPr>
      </w:pPr>
      <w:r>
        <w:rPr>
          <w:rFonts w:ascii="仿宋" w:hAnsi="仿宋" w:eastAsia="仿宋"/>
          <w:bCs/>
          <w:kern w:val="32"/>
          <w:sz w:val="32"/>
          <w:szCs w:val="32"/>
        </w:rPr>
        <w:t>1</w:t>
      </w:r>
      <w:r>
        <w:rPr>
          <w:rFonts w:hint="eastAsia" w:ascii="仿宋" w:hAnsi="仿宋" w:eastAsia="仿宋"/>
          <w:bCs/>
          <w:kern w:val="32"/>
          <w:sz w:val="32"/>
          <w:szCs w:val="32"/>
        </w:rPr>
        <w:t>、房屋权属登记信息查询结果证明。证明申请人为涉案房屋产权人。</w:t>
      </w:r>
    </w:p>
    <w:p>
      <w:pPr>
        <w:pStyle w:val="10"/>
        <w:topLinePunct/>
        <w:autoSpaceDE/>
        <w:autoSpaceDN/>
        <w:adjustRightInd/>
        <w:spacing w:line="580" w:lineRule="exact"/>
        <w:ind w:firstLine="640" w:firstLineChars="200"/>
        <w:jc w:val="both"/>
        <w:rPr>
          <w:rFonts w:ascii="仿宋" w:hAnsi="仿宋_GB2312" w:eastAsia="仿宋" w:cs="仿宋_GB2312"/>
          <w:kern w:val="32"/>
          <w:sz w:val="32"/>
        </w:rPr>
      </w:pPr>
      <w:r>
        <w:rPr>
          <w:rFonts w:ascii="仿宋" w:hAnsi="仿宋" w:eastAsia="仿宋" w:cs="Times New Roman"/>
          <w:bCs/>
          <w:kern w:val="32"/>
          <w:sz w:val="32"/>
          <w:szCs w:val="32"/>
        </w:rPr>
        <w:t>2</w:t>
      </w:r>
      <w:r>
        <w:rPr>
          <w:rFonts w:hint="eastAsia" w:ascii="仿宋" w:hAnsi="仿宋" w:eastAsia="仿宋" w:cs="Times New Roman"/>
          <w:bCs/>
          <w:kern w:val="32"/>
          <w:sz w:val="32"/>
          <w:szCs w:val="32"/>
        </w:rPr>
        <w:t>、房屋分户平面图、现场检查笔录及照片。</w:t>
      </w:r>
      <w:r>
        <w:rPr>
          <w:rFonts w:hint="eastAsia" w:ascii="仿宋" w:hAnsi="仿宋_GB2312" w:eastAsia="仿宋" w:cs="仿宋_GB2312"/>
          <w:kern w:val="32"/>
          <w:sz w:val="32"/>
        </w:rPr>
        <w:t>证明申请人未向</w:t>
      </w:r>
      <w:r>
        <w:rPr>
          <w:rFonts w:hint="eastAsia" w:ascii="仿宋" w:hAnsi="仿宋" w:eastAsia="仿宋"/>
          <w:bCs/>
          <w:kern w:val="32"/>
          <w:sz w:val="32"/>
          <w:szCs w:val="32"/>
        </w:rPr>
        <w:t>太仓市住房和城乡建设局</w:t>
      </w:r>
      <w:r>
        <w:rPr>
          <w:rFonts w:hint="eastAsia" w:ascii="仿宋" w:hAnsi="仿宋_GB2312" w:eastAsia="仿宋" w:cs="仿宋_GB2312"/>
          <w:kern w:val="32"/>
          <w:sz w:val="32"/>
        </w:rPr>
        <w:t>申请规划许可即进行搭建的</w:t>
      </w:r>
      <w:r>
        <w:rPr>
          <w:rFonts w:hint="eastAsia" w:ascii="仿宋" w:eastAsia="仿宋"/>
          <w:kern w:val="32"/>
          <w:sz w:val="32"/>
          <w:szCs w:val="29"/>
        </w:rPr>
        <w:t>事实。</w:t>
      </w:r>
    </w:p>
    <w:p>
      <w:pPr>
        <w:pStyle w:val="10"/>
        <w:topLinePunct/>
        <w:autoSpaceDE/>
        <w:autoSpaceDN/>
        <w:adjustRightInd/>
        <w:spacing w:line="580" w:lineRule="exact"/>
        <w:ind w:firstLine="640" w:firstLineChars="200"/>
        <w:jc w:val="both"/>
        <w:rPr>
          <w:rFonts w:ascii="仿宋" w:hAnsi="仿宋" w:eastAsia="仿宋" w:cs="Times New Roman"/>
          <w:bCs/>
          <w:kern w:val="32"/>
          <w:sz w:val="32"/>
          <w:szCs w:val="32"/>
        </w:rPr>
      </w:pPr>
      <w:r>
        <w:rPr>
          <w:rFonts w:ascii="仿宋" w:hAnsi="仿宋" w:eastAsia="仿宋" w:cs="Times New Roman"/>
          <w:bCs/>
          <w:kern w:val="32"/>
          <w:sz w:val="32"/>
          <w:szCs w:val="32"/>
        </w:rPr>
        <w:t>3</w:t>
      </w:r>
      <w:r>
        <w:rPr>
          <w:rFonts w:hint="eastAsia" w:ascii="仿宋" w:hAnsi="仿宋" w:eastAsia="仿宋" w:cs="Times New Roman"/>
          <w:bCs/>
          <w:kern w:val="32"/>
          <w:sz w:val="32"/>
          <w:szCs w:val="32"/>
        </w:rPr>
        <w:t>、</w:t>
      </w:r>
      <w:r>
        <w:rPr>
          <w:rFonts w:hint="eastAsia" w:ascii="仿宋" w:hAnsi="仿宋" w:eastAsia="仿宋"/>
          <w:bCs/>
          <w:kern w:val="32"/>
          <w:sz w:val="32"/>
          <w:szCs w:val="32"/>
        </w:rPr>
        <w:t>《在建建设规划认定书》（文书编号：</w:t>
      </w:r>
      <w:r>
        <w:rPr>
          <w:rFonts w:ascii="仿宋" w:hAnsi="仿宋" w:eastAsia="仿宋"/>
          <w:bCs/>
          <w:kern w:val="32"/>
          <w:sz w:val="32"/>
          <w:szCs w:val="32"/>
        </w:rPr>
        <w:t>1900088</w:t>
      </w:r>
      <w:r>
        <w:rPr>
          <w:rFonts w:hint="eastAsia" w:ascii="仿宋" w:hAnsi="仿宋" w:eastAsia="仿宋"/>
          <w:bCs/>
          <w:kern w:val="32"/>
          <w:sz w:val="32"/>
          <w:szCs w:val="32"/>
        </w:rPr>
        <w:t>）</w:t>
      </w:r>
      <w:r>
        <w:rPr>
          <w:rFonts w:hint="eastAsia" w:ascii="仿宋" w:hAnsi="仿宋" w:eastAsia="仿宋" w:cs="Times New Roman"/>
          <w:bCs/>
          <w:kern w:val="32"/>
          <w:sz w:val="32"/>
          <w:szCs w:val="32"/>
        </w:rPr>
        <w:t>。证明</w:t>
      </w:r>
      <w:r>
        <w:rPr>
          <w:rFonts w:hint="eastAsia" w:ascii="仿宋" w:hAnsi="仿宋" w:eastAsia="仿宋"/>
          <w:bCs/>
          <w:kern w:val="32"/>
          <w:sz w:val="32"/>
          <w:szCs w:val="32"/>
        </w:rPr>
        <w:t>太仓市住房和城乡建设局</w:t>
      </w:r>
      <w:r>
        <w:rPr>
          <w:rFonts w:hint="eastAsia" w:ascii="仿宋" w:hAnsi="仿宋" w:eastAsia="仿宋" w:cs="Times New Roman"/>
          <w:bCs/>
          <w:kern w:val="32"/>
          <w:sz w:val="32"/>
          <w:szCs w:val="32"/>
        </w:rPr>
        <w:t>认定申请人进行的搭建属违法建设的内容和时间。</w:t>
      </w:r>
      <w:r>
        <w:rPr>
          <w:rFonts w:ascii="仿宋" w:hAnsi="仿宋" w:eastAsia="仿宋" w:cs="Times New Roman"/>
          <w:bCs/>
          <w:kern w:val="32"/>
          <w:sz w:val="32"/>
          <w:szCs w:val="32"/>
        </w:rPr>
        <w:t xml:space="preserve"> </w:t>
      </w:r>
    </w:p>
    <w:p>
      <w:pPr>
        <w:topLinePunct/>
        <w:spacing w:line="580" w:lineRule="exact"/>
        <w:ind w:firstLine="640" w:firstLineChars="200"/>
        <w:rPr>
          <w:rFonts w:ascii="仿宋" w:eastAsia="仿宋"/>
          <w:kern w:val="32"/>
          <w:sz w:val="32"/>
          <w:szCs w:val="29"/>
        </w:rPr>
      </w:pPr>
      <w:r>
        <w:rPr>
          <w:rFonts w:hint="eastAsia" w:ascii="仿宋" w:hAnsi="仿宋" w:eastAsia="仿宋"/>
          <w:bCs/>
          <w:kern w:val="32"/>
          <w:sz w:val="32"/>
          <w:szCs w:val="32"/>
        </w:rPr>
        <w:t>本机关认为：县级以上地方人民政府城乡规划主管部门负责本行政区域内的城乡规划管理工作，太仓市住房和城乡建设局是进行违法建设认定的有权部门。在行政复议过程中，因机构改革，太仓市住房和城乡建设局的城乡规划管理职能转入太仓市自然资源和规划局，因此，本机关在案件审理过程中将本案被申请人调整为太仓市自然资源和规划局。</w:t>
      </w:r>
      <w:r>
        <w:rPr>
          <w:rFonts w:hint="eastAsia" w:ascii="仿宋" w:eastAsia="仿宋"/>
          <w:kern w:val="32"/>
          <w:sz w:val="32"/>
          <w:szCs w:val="28"/>
        </w:rPr>
        <w:t>《中华人民共和国城乡规划法》</w:t>
      </w:r>
      <w:r>
        <w:rPr>
          <w:rStyle w:val="6"/>
          <w:rFonts w:hint="eastAsia" w:ascii="仿宋" w:eastAsia="仿宋"/>
          <w:b w:val="0"/>
          <w:kern w:val="32"/>
          <w:sz w:val="32"/>
          <w:szCs w:val="28"/>
        </w:rPr>
        <w:t>第四十条第一款</w:t>
      </w:r>
      <w:r>
        <w:rPr>
          <w:rFonts w:hint="eastAsia" w:ascii="仿宋" w:eastAsia="仿宋"/>
          <w:kern w:val="32"/>
          <w:sz w:val="32"/>
          <w:szCs w:val="28"/>
        </w:rPr>
        <w:t>规定，“在城市、镇规划区内进行建筑物、构筑物、道路、管线和其他工程建设的，建设单位或者个人应当向城市、县人民政府城乡规划主管部门或者省、自治区、直辖市人民政府确定的镇人民政府申请办理建设工程规划许可证。”本案中，雅鹿臻园位于城乡规划区内，申请人未取得建设工程规划许可证即进行建设，违反了上述规定。</w:t>
      </w:r>
      <w:r>
        <w:rPr>
          <w:rFonts w:hint="eastAsia" w:ascii="仿宋" w:hAnsi="仿宋" w:eastAsia="仿宋"/>
          <w:bCs/>
          <w:kern w:val="32"/>
          <w:sz w:val="32"/>
          <w:szCs w:val="32"/>
        </w:rPr>
        <w:t>被申请人</w:t>
      </w:r>
      <w:r>
        <w:rPr>
          <w:rFonts w:hint="eastAsia" w:ascii="仿宋" w:eastAsia="仿宋"/>
          <w:kern w:val="32"/>
          <w:sz w:val="32"/>
          <w:szCs w:val="28"/>
        </w:rPr>
        <w:t>作出违法建设的认定，</w:t>
      </w:r>
      <w:r>
        <w:rPr>
          <w:rFonts w:hint="eastAsia" w:ascii="仿宋" w:eastAsia="仿宋"/>
          <w:kern w:val="32"/>
          <w:sz w:val="32"/>
          <w:szCs w:val="29"/>
        </w:rPr>
        <w:t>事实清楚、依据充分。</w:t>
      </w:r>
    </w:p>
    <w:p>
      <w:pPr>
        <w:topLinePunct/>
        <w:spacing w:line="580" w:lineRule="exact"/>
        <w:ind w:firstLine="640" w:firstLineChars="200"/>
        <w:rPr>
          <w:rFonts w:ascii="仿宋" w:hAnsi="仿宋" w:eastAsia="仿宋"/>
          <w:bCs/>
          <w:kern w:val="32"/>
          <w:sz w:val="32"/>
          <w:szCs w:val="32"/>
        </w:rPr>
      </w:pPr>
      <w:r>
        <w:rPr>
          <w:rFonts w:hint="eastAsia" w:ascii="仿宋" w:hAnsi="仿宋" w:eastAsia="仿宋"/>
          <w:bCs/>
          <w:kern w:val="32"/>
          <w:sz w:val="32"/>
          <w:szCs w:val="32"/>
        </w:rPr>
        <w:t>根据《中华人民共和国行政复议法》第二十八条第一款第一项之规定，本机关决定如下：</w:t>
      </w:r>
    </w:p>
    <w:p>
      <w:pPr>
        <w:topLinePunct/>
        <w:spacing w:line="580" w:lineRule="exact"/>
        <w:ind w:firstLine="640" w:firstLineChars="200"/>
        <w:rPr>
          <w:rFonts w:ascii="仿宋" w:hAnsi="仿宋" w:eastAsia="仿宋"/>
          <w:bCs/>
          <w:kern w:val="32"/>
          <w:sz w:val="32"/>
          <w:szCs w:val="32"/>
        </w:rPr>
      </w:pPr>
      <w:r>
        <w:rPr>
          <w:rFonts w:hint="eastAsia" w:ascii="仿宋" w:hAnsi="仿宋" w:eastAsia="仿宋"/>
          <w:bCs/>
          <w:kern w:val="32"/>
          <w:sz w:val="32"/>
          <w:szCs w:val="32"/>
        </w:rPr>
        <w:t>维持被申请人作出的《在建建设规划认定书》（文书编号：</w:t>
      </w:r>
      <w:r>
        <w:rPr>
          <w:rFonts w:ascii="仿宋" w:hAnsi="仿宋" w:eastAsia="仿宋"/>
          <w:bCs/>
          <w:kern w:val="32"/>
          <w:sz w:val="32"/>
          <w:szCs w:val="32"/>
        </w:rPr>
        <w:t>1900088</w:t>
      </w:r>
      <w:r>
        <w:rPr>
          <w:rFonts w:hint="eastAsia" w:ascii="仿宋" w:hAnsi="仿宋" w:eastAsia="仿宋"/>
          <w:bCs/>
          <w:kern w:val="32"/>
          <w:sz w:val="32"/>
          <w:szCs w:val="32"/>
        </w:rPr>
        <w:t>）。</w:t>
      </w:r>
    </w:p>
    <w:p>
      <w:pPr>
        <w:topLinePunct/>
        <w:spacing w:line="580" w:lineRule="exact"/>
        <w:ind w:firstLine="640" w:firstLineChars="200"/>
        <w:rPr>
          <w:rFonts w:ascii="仿宋" w:hAnsi="仿宋" w:eastAsia="仿宋"/>
          <w:bCs/>
          <w:kern w:val="32"/>
          <w:sz w:val="32"/>
          <w:szCs w:val="32"/>
        </w:rPr>
      </w:pPr>
      <w:r>
        <w:rPr>
          <w:rFonts w:hint="eastAsia" w:ascii="仿宋" w:hAnsi="仿宋" w:eastAsia="仿宋"/>
          <w:bCs/>
          <w:kern w:val="32"/>
          <w:sz w:val="32"/>
          <w:szCs w:val="32"/>
        </w:rPr>
        <w:t>如对本决定不服，可以自接到本决定书之日起</w:t>
      </w:r>
      <w:r>
        <w:rPr>
          <w:rFonts w:ascii="仿宋" w:hAnsi="仿宋" w:eastAsia="仿宋"/>
          <w:bCs/>
          <w:kern w:val="32"/>
          <w:sz w:val="32"/>
          <w:szCs w:val="32"/>
        </w:rPr>
        <w:t>15</w:t>
      </w:r>
      <w:r>
        <w:rPr>
          <w:rFonts w:hint="eastAsia" w:ascii="仿宋" w:hAnsi="仿宋" w:eastAsia="仿宋"/>
          <w:bCs/>
          <w:kern w:val="32"/>
          <w:sz w:val="32"/>
          <w:szCs w:val="32"/>
        </w:rPr>
        <w:t>日内，向太仓市人民法院提起行政诉讼。</w:t>
      </w:r>
    </w:p>
    <w:p>
      <w:pPr>
        <w:topLinePunct/>
        <w:spacing w:line="580" w:lineRule="exact"/>
        <w:rPr>
          <w:rFonts w:ascii="仿宋" w:hAnsi="仿宋" w:eastAsia="仿宋"/>
          <w:bCs/>
          <w:kern w:val="32"/>
          <w:sz w:val="32"/>
          <w:szCs w:val="32"/>
        </w:rPr>
      </w:pPr>
    </w:p>
    <w:p>
      <w:pPr>
        <w:topLinePunct/>
        <w:spacing w:line="580" w:lineRule="exact"/>
        <w:rPr>
          <w:rFonts w:ascii="仿宋" w:hAnsi="仿宋" w:eastAsia="仿宋"/>
          <w:bCs/>
          <w:kern w:val="32"/>
          <w:sz w:val="32"/>
          <w:szCs w:val="32"/>
        </w:rPr>
      </w:pPr>
      <w:r>
        <w:rPr>
          <w:rFonts w:ascii="仿宋" w:hAnsi="仿宋" w:eastAsia="仿宋"/>
          <w:bCs/>
          <w:kern w:val="32"/>
          <w:sz w:val="32"/>
          <w:szCs w:val="32"/>
        </w:rPr>
        <w:t xml:space="preserve">                             </w:t>
      </w:r>
      <w:r>
        <w:rPr>
          <w:rFonts w:hint="eastAsia" w:ascii="仿宋" w:hAnsi="仿宋" w:eastAsia="仿宋"/>
          <w:bCs/>
          <w:kern w:val="32"/>
          <w:sz w:val="32"/>
          <w:szCs w:val="32"/>
        </w:rPr>
        <w:t>二</w:t>
      </w:r>
      <w:r>
        <w:rPr>
          <w:rFonts w:hint="eastAsia" w:ascii="仿宋" w:hAnsi="仿宋" w:eastAsia="仿宋" w:cs="宋体"/>
          <w:bCs/>
          <w:kern w:val="32"/>
          <w:sz w:val="32"/>
          <w:szCs w:val="32"/>
        </w:rPr>
        <w:t>〇一九</w:t>
      </w:r>
      <w:r>
        <w:rPr>
          <w:rFonts w:hint="eastAsia" w:ascii="仿宋" w:hAnsi="仿宋" w:eastAsia="仿宋"/>
          <w:bCs/>
          <w:kern w:val="32"/>
          <w:sz w:val="32"/>
          <w:szCs w:val="32"/>
        </w:rPr>
        <w:t>年五月二十三日</w:t>
      </w:r>
    </w:p>
    <w:p>
      <w:pPr>
        <w:overflowPunct w:val="0"/>
        <w:adjustRightInd w:val="0"/>
        <w:spacing w:before="100" w:beforeAutospacing="1" w:after="100" w:afterAutospacing="1" w:line="580" w:lineRule="exact"/>
        <w:rPr>
          <w:kern w:val="0"/>
        </w:rPr>
      </w:pPr>
    </w:p>
    <w:sectPr>
      <w:footerReference r:id="rId3" w:type="default"/>
      <w:footerReference r:id="rId4" w:type="even"/>
      <w:pgSz w:w="11906" w:h="16838"/>
      <w:pgMar w:top="1440" w:right="1797" w:bottom="1440" w:left="179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- 1 -</w:t>
    </w:r>
    <w:r>
      <w:rPr>
        <w:rStyle w:val="7"/>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323A4657"/>
    <w:rsid w:val="00035F4A"/>
    <w:rsid w:val="00080ADF"/>
    <w:rsid w:val="00132BBC"/>
    <w:rsid w:val="001464EE"/>
    <w:rsid w:val="00162A5A"/>
    <w:rsid w:val="001674C1"/>
    <w:rsid w:val="00183084"/>
    <w:rsid w:val="001D2E02"/>
    <w:rsid w:val="00200BEA"/>
    <w:rsid w:val="00213025"/>
    <w:rsid w:val="002B25E0"/>
    <w:rsid w:val="002D7778"/>
    <w:rsid w:val="00316476"/>
    <w:rsid w:val="00323C82"/>
    <w:rsid w:val="00327D79"/>
    <w:rsid w:val="003318C2"/>
    <w:rsid w:val="003414A1"/>
    <w:rsid w:val="00421B4D"/>
    <w:rsid w:val="004305FC"/>
    <w:rsid w:val="00446786"/>
    <w:rsid w:val="00450351"/>
    <w:rsid w:val="00450795"/>
    <w:rsid w:val="004753AA"/>
    <w:rsid w:val="00476AB0"/>
    <w:rsid w:val="004952B1"/>
    <w:rsid w:val="00500304"/>
    <w:rsid w:val="00503C18"/>
    <w:rsid w:val="00587139"/>
    <w:rsid w:val="005C0F61"/>
    <w:rsid w:val="005C2462"/>
    <w:rsid w:val="005E4CAF"/>
    <w:rsid w:val="00607D60"/>
    <w:rsid w:val="006354B6"/>
    <w:rsid w:val="006364FD"/>
    <w:rsid w:val="006F2DDB"/>
    <w:rsid w:val="00773DDC"/>
    <w:rsid w:val="00796645"/>
    <w:rsid w:val="007A7EDF"/>
    <w:rsid w:val="007C054B"/>
    <w:rsid w:val="007D509A"/>
    <w:rsid w:val="008116A7"/>
    <w:rsid w:val="00817128"/>
    <w:rsid w:val="00833A47"/>
    <w:rsid w:val="009260A5"/>
    <w:rsid w:val="0095069F"/>
    <w:rsid w:val="00960D5F"/>
    <w:rsid w:val="009A7608"/>
    <w:rsid w:val="00A1461A"/>
    <w:rsid w:val="00A22ADD"/>
    <w:rsid w:val="00A627C4"/>
    <w:rsid w:val="00AD6664"/>
    <w:rsid w:val="00B91261"/>
    <w:rsid w:val="00BA7192"/>
    <w:rsid w:val="00BA72E1"/>
    <w:rsid w:val="00BB0EFF"/>
    <w:rsid w:val="00BE34B2"/>
    <w:rsid w:val="00BF1881"/>
    <w:rsid w:val="00C048D3"/>
    <w:rsid w:val="00C10A80"/>
    <w:rsid w:val="00C13D21"/>
    <w:rsid w:val="00C60C85"/>
    <w:rsid w:val="00C87CA7"/>
    <w:rsid w:val="00D24EB6"/>
    <w:rsid w:val="00D26D5B"/>
    <w:rsid w:val="00D6628C"/>
    <w:rsid w:val="00D81468"/>
    <w:rsid w:val="00E15C7D"/>
    <w:rsid w:val="00E25E17"/>
    <w:rsid w:val="00E42ADE"/>
    <w:rsid w:val="00EB65C6"/>
    <w:rsid w:val="00ED738B"/>
    <w:rsid w:val="00F90CBB"/>
    <w:rsid w:val="00FB040C"/>
    <w:rsid w:val="180779C1"/>
    <w:rsid w:val="323A4657"/>
    <w:rsid w:val="58312405"/>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nhideWhenUsed="0" w:uiPriority="99" w:semiHidden="0" w:name="annotation text"/>
    <w:lsdException w:uiPriority="99"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99"/>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link w:val="8"/>
    <w:uiPriority w:val="99"/>
    <w:pPr>
      <w:jc w:val="left"/>
    </w:pPr>
  </w:style>
  <w:style w:type="paragraph" w:styleId="3">
    <w:name w:val="footer"/>
    <w:basedOn w:val="1"/>
    <w:link w:val="9"/>
    <w:uiPriority w:val="99"/>
    <w:pPr>
      <w:tabs>
        <w:tab w:val="center" w:pos="4153"/>
        <w:tab w:val="right" w:pos="8306"/>
      </w:tabs>
      <w:snapToGrid w:val="0"/>
      <w:jc w:val="left"/>
    </w:pPr>
    <w:rPr>
      <w:sz w:val="18"/>
      <w:szCs w:val="18"/>
    </w:rPr>
  </w:style>
  <w:style w:type="character" w:styleId="6">
    <w:name w:val="Strong"/>
    <w:basedOn w:val="5"/>
    <w:qFormat/>
    <w:uiPriority w:val="99"/>
    <w:rPr>
      <w:rFonts w:cs="Times New Roman"/>
      <w:b/>
      <w:bCs/>
    </w:rPr>
  </w:style>
  <w:style w:type="character" w:styleId="7">
    <w:name w:val="page number"/>
    <w:basedOn w:val="5"/>
    <w:qFormat/>
    <w:uiPriority w:val="99"/>
    <w:rPr>
      <w:rFonts w:cs="Times New Roman"/>
    </w:rPr>
  </w:style>
  <w:style w:type="character" w:customStyle="1" w:styleId="8">
    <w:name w:val="Comment Text Char"/>
    <w:basedOn w:val="5"/>
    <w:link w:val="2"/>
    <w:semiHidden/>
    <w:locked/>
    <w:uiPriority w:val="99"/>
    <w:rPr>
      <w:rFonts w:cs="Times New Roman"/>
      <w:sz w:val="24"/>
      <w:szCs w:val="24"/>
    </w:rPr>
  </w:style>
  <w:style w:type="character" w:customStyle="1" w:styleId="9">
    <w:name w:val="Footer Char"/>
    <w:basedOn w:val="5"/>
    <w:link w:val="3"/>
    <w:semiHidden/>
    <w:locked/>
    <w:uiPriority w:val="99"/>
    <w:rPr>
      <w:rFonts w:cs="Times New Roman"/>
      <w:sz w:val="18"/>
      <w:szCs w:val="18"/>
    </w:rPr>
  </w:style>
  <w:style w:type="paragraph" w:customStyle="1" w:styleId="10">
    <w:name w:val="样式"/>
    <w:qFormat/>
    <w:uiPriority w:val="99"/>
    <w:pPr>
      <w:widowControl w:val="0"/>
      <w:autoSpaceDE w:val="0"/>
      <w:autoSpaceDN w:val="0"/>
      <w:adjustRightInd w:val="0"/>
    </w:pPr>
    <w:rPr>
      <w:rFonts w:ascii="宋体" w:hAnsi="Times New Roman" w:eastAsia="宋体" w:cs="宋体"/>
      <w:kern w:val="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5</Pages>
  <Words>341</Words>
  <Characters>1948</Characters>
  <Lines>0</Lines>
  <Paragraphs>0</Paragraphs>
  <TotalTime>167</TotalTime>
  <ScaleCrop>false</ScaleCrop>
  <LinksUpToDate>false</LinksUpToDate>
  <CharactersWithSpaces>0</CharactersWithSpaces>
  <Application>WPS Office_11.1.0.9058_F1E327BC-269C-435d-A152-05C5408002CA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2019-05-08T06:34:00Z</dcterms:created>
  <dc:creator>水晶蓝贝</dc:creator>
  <cp:lastModifiedBy>水晶蓝贝</cp:lastModifiedBy>
  <cp:lastPrinted>2019-05-20T08:30:00Z</cp:lastPrinted>
  <dcterms:modified xsi:type="dcterms:W3CDTF">2019-09-27T08:22:16Z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2052-11.1.0.9058</vt:lpwstr>
  </property>
</Properties>
</file>