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CE" w:rsidRDefault="00212BCE" w:rsidP="00212BC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8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食品安全抽检结果分析</w:t>
      </w:r>
    </w:p>
    <w:p w:rsidR="00212BCE" w:rsidRPr="00B2712B" w:rsidRDefault="00212BCE" w:rsidP="00212BCE">
      <w:pPr>
        <w:jc w:val="center"/>
        <w:rPr>
          <w:rFonts w:ascii="黑体" w:eastAsia="黑体" w:hAnsi="黑体" w:cs="Arial"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sz w:val="36"/>
          <w:szCs w:val="36"/>
        </w:rPr>
        <w:t>（第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期）</w:t>
      </w:r>
    </w:p>
    <w:p w:rsidR="00212BCE" w:rsidRPr="001B5A58" w:rsidRDefault="00212BCE" w:rsidP="00212BCE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2018年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8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月份（第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3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期）对全市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饮料、豆制品、</w:t>
      </w:r>
      <w:r w:rsidRPr="00BF3A0D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粮食加工品、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糕点、糖果制品、水果制品、速冻食品、肉制品、食糖、淀粉制品、餐饮食品、食用农产品等进行了监督抽检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。本期共检测各类食品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111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107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批，合格率为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96.4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%。</w:t>
      </w:r>
    </w:p>
    <w:p w:rsidR="00212BCE" w:rsidRPr="001B5A58" w:rsidRDefault="00212BCE" w:rsidP="00212BCE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本期检测有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4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肉制品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</w:t>
      </w:r>
      <w:r w:rsidR="0065546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分别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为</w:t>
      </w:r>
      <w:r w:rsidR="0065546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胭脂红、日落黄、亚硝酸盐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</w:t>
      </w:r>
    </w:p>
    <w:p w:rsidR="00212BCE" w:rsidRPr="001B5A58" w:rsidRDefault="00212BCE" w:rsidP="00212BCE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本期抽检结论为不合格的产品，</w:t>
      </w:r>
      <w:proofErr w:type="gramStart"/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市食安办</w:t>
      </w:r>
      <w:proofErr w:type="gramEnd"/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已移交相关部门依法进行调查处置。</w:t>
      </w:r>
    </w:p>
    <w:p w:rsidR="00212BCE" w:rsidRPr="001B5A58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>
      <w:pPr>
        <w:rPr>
          <w:rFonts w:hint="eastAsia"/>
        </w:rPr>
      </w:pPr>
    </w:p>
    <w:p w:rsidR="00655468" w:rsidRDefault="00655468" w:rsidP="00212BCE">
      <w:pPr>
        <w:rPr>
          <w:rFonts w:hint="eastAsia"/>
        </w:rPr>
      </w:pPr>
    </w:p>
    <w:p w:rsidR="00655468" w:rsidRDefault="00655468" w:rsidP="00212BCE"/>
    <w:p w:rsidR="00212BCE" w:rsidRDefault="00212BCE" w:rsidP="00212BCE"/>
    <w:p w:rsidR="00212BCE" w:rsidRDefault="00212BCE" w:rsidP="00212BCE"/>
    <w:p w:rsidR="00212BCE" w:rsidRDefault="00212BCE" w:rsidP="00212BCE"/>
    <w:p w:rsidR="00212BCE" w:rsidRDefault="00212BCE" w:rsidP="00212BC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8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p w:rsidR="00212BCE" w:rsidRPr="00B97AC4" w:rsidRDefault="00212BCE" w:rsidP="00212BC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（第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期）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3118"/>
        <w:gridCol w:w="992"/>
        <w:gridCol w:w="1560"/>
        <w:gridCol w:w="1134"/>
      </w:tblGrid>
      <w:tr w:rsidR="00212BCE" w:rsidRPr="00FA7213" w:rsidTr="00443DAA">
        <w:trPr>
          <w:trHeight w:hRule="exact" w:val="442"/>
        </w:trPr>
        <w:tc>
          <w:tcPr>
            <w:tcW w:w="1575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134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 w:val="restart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市场监管局</w:t>
            </w:r>
          </w:p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（生产）</w:t>
            </w: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sz w:val="24"/>
              </w:rPr>
              <w:t>饮料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100%</w:t>
            </w: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豆制品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粮食加工品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糕点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糖果制品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水果制品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速冻食品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肉制品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食糖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淀粉及淀粉制品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FA7213">
              <w:rPr>
                <w:rFonts w:asciiTheme="minorEastAsia" w:hAnsiTheme="minorEastAsia"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sz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sz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 w:val="restart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市场监管局</w:t>
            </w:r>
          </w:p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肉制品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FA7213">
              <w:rPr>
                <w:rFonts w:asciiTheme="minorEastAsia" w:hAnsiTheme="minorEastAsia" w:hint="eastAsia"/>
                <w:bCs/>
                <w:sz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91.1%</w:t>
            </w: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食用农产品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FA7213">
              <w:rPr>
                <w:rFonts w:asciiTheme="minorEastAsia" w:hAnsiTheme="minorEastAsia" w:hint="eastAsia"/>
                <w:bCs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FA7213">
              <w:rPr>
                <w:rFonts w:asciiTheme="minorEastAsia" w:hAnsiTheme="minorEastAsia"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FA7213">
              <w:rPr>
                <w:rFonts w:asciiTheme="minorEastAsia" w:hAnsiTheme="minorEastAsia" w:hint="eastAsia"/>
                <w:b/>
                <w:bCs/>
                <w:sz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sz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 w:val="restart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市场监管局</w:t>
            </w:r>
          </w:p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（餐饮）</w:t>
            </w: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FA7213">
              <w:rPr>
                <w:rFonts w:asciiTheme="minorEastAsia" w:hAnsiTheme="minorEastAsia" w:hint="eastAsia"/>
                <w:bCs/>
                <w:sz w:val="24"/>
              </w:rPr>
              <w:t>餐饮食品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FA7213">
              <w:rPr>
                <w:rFonts w:asciiTheme="minorEastAsia" w:hAnsiTheme="minorEastAsia" w:hint="eastAsia"/>
                <w:bCs/>
                <w:sz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100%</w:t>
            </w: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bCs/>
                <w:sz w:val="24"/>
              </w:rPr>
            </w:pPr>
            <w:r w:rsidRPr="00FA7213">
              <w:rPr>
                <w:rFonts w:asciiTheme="minorEastAsia" w:hAnsiTheme="minorEastAsia" w:hint="eastAsia"/>
                <w:bCs/>
                <w:sz w:val="24"/>
              </w:rPr>
              <w:t>食用油、油脂及其制品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bCs/>
                <w:sz w:val="24"/>
              </w:rPr>
            </w:pPr>
            <w:r w:rsidRPr="00FA7213">
              <w:rPr>
                <w:rFonts w:asciiTheme="minorEastAsia" w:hAnsiTheme="minorEastAsia"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b/>
                <w:bCs/>
                <w:sz w:val="24"/>
              </w:rPr>
            </w:pPr>
            <w:r w:rsidRPr="00FA7213">
              <w:rPr>
                <w:rFonts w:asciiTheme="minorEastAsia" w:hAnsiTheme="minorEastAsia"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b/>
                <w:bCs/>
                <w:sz w:val="24"/>
              </w:rPr>
            </w:pPr>
            <w:r w:rsidRPr="00FA7213">
              <w:rPr>
                <w:rFonts w:asciiTheme="minorEastAsia" w:hAnsiTheme="minorEastAsia" w:hint="eastAsia"/>
                <w:b/>
                <w:bCs/>
                <w:sz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hint="eastAsia"/>
                <w:b/>
                <w:bCs/>
                <w:sz w:val="24"/>
              </w:rPr>
            </w:pPr>
            <w:r w:rsidRPr="00FA7213">
              <w:rPr>
                <w:rFonts w:asciiTheme="minorEastAsia" w:hAnsiTheme="minorEastAsia" w:hint="eastAsia"/>
                <w:b/>
                <w:bCs/>
                <w:sz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 w:val="restart"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农委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猪尿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FA7213">
              <w:rPr>
                <w:rFonts w:asciiTheme="minorEastAsia" w:hAnsiTheme="minorEastAsia" w:hint="eastAsia"/>
                <w:b/>
                <w:sz w:val="24"/>
              </w:rPr>
              <w:t>100%</w:t>
            </w: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猪肝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b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食用菌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sz w:val="24"/>
              </w:rPr>
            </w:pPr>
            <w:r w:rsidRPr="00FA7213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b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vMerge/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 w:hint="eastAsia"/>
                <w:b/>
                <w:sz w:val="24"/>
              </w:rPr>
            </w:pPr>
          </w:p>
        </w:tc>
      </w:tr>
      <w:tr w:rsidR="00212BCE" w:rsidRPr="00FA7213" w:rsidTr="00443DAA">
        <w:trPr>
          <w:trHeight w:hRule="exact" w:val="442"/>
        </w:trPr>
        <w:tc>
          <w:tcPr>
            <w:tcW w:w="1575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A7213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111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12BCE" w:rsidRPr="00FA7213" w:rsidRDefault="00212BCE" w:rsidP="00443DAA">
            <w:pPr>
              <w:spacing w:line="45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96</w:t>
            </w:r>
            <w:r w:rsidRPr="00FA7213">
              <w:rPr>
                <w:rFonts w:asciiTheme="minorEastAsia" w:hAnsiTheme="minorEastAsia" w:hint="eastAsia"/>
                <w:b/>
                <w:sz w:val="24"/>
              </w:rPr>
              <w:t>.4%</w:t>
            </w:r>
          </w:p>
        </w:tc>
      </w:tr>
    </w:tbl>
    <w:p w:rsidR="00212BCE" w:rsidRDefault="00212BCE">
      <w:pPr>
        <w:sectPr w:rsidR="00212BCE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>
        <w:rPr>
          <w:rFonts w:hint="eastAsia"/>
        </w:rPr>
        <w:t>。</w:t>
      </w:r>
    </w:p>
    <w:p w:rsidR="00212BCE" w:rsidRPr="005519AB" w:rsidRDefault="00212BCE" w:rsidP="00212BCE">
      <w:pPr>
        <w:jc w:val="center"/>
        <w:rPr>
          <w:b/>
          <w:sz w:val="36"/>
          <w:szCs w:val="36"/>
        </w:rPr>
      </w:pPr>
      <w:r w:rsidRPr="005519AB">
        <w:rPr>
          <w:rFonts w:hint="eastAsia"/>
          <w:b/>
          <w:sz w:val="36"/>
          <w:szCs w:val="36"/>
        </w:rPr>
        <w:lastRenderedPageBreak/>
        <w:t>不合格食品信息汇总表</w:t>
      </w:r>
    </w:p>
    <w:tbl>
      <w:tblPr>
        <w:tblW w:w="14421" w:type="dxa"/>
        <w:jc w:val="center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7"/>
        <w:gridCol w:w="1418"/>
        <w:gridCol w:w="1701"/>
        <w:gridCol w:w="1276"/>
        <w:gridCol w:w="1701"/>
        <w:gridCol w:w="850"/>
        <w:gridCol w:w="851"/>
        <w:gridCol w:w="1134"/>
        <w:gridCol w:w="992"/>
        <w:gridCol w:w="1086"/>
        <w:gridCol w:w="850"/>
        <w:gridCol w:w="993"/>
        <w:gridCol w:w="1182"/>
      </w:tblGrid>
      <w:tr w:rsidR="00212BCE" w:rsidRPr="00817BA4" w:rsidTr="00212BCE">
        <w:trPr>
          <w:cantSplit/>
          <w:trHeight w:hRule="exact" w:val="802"/>
          <w:jc w:val="center"/>
        </w:trPr>
        <w:tc>
          <w:tcPr>
            <w:tcW w:w="387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</w:t>
            </w:r>
            <w:r>
              <w:rPr>
                <w:rFonts w:ascii="宋体" w:hAnsi="宋体" w:cs="宋体" w:hint="eastAsia"/>
                <w:b/>
                <w:sz w:val="24"/>
              </w:rPr>
              <w:t>生产企业地址</w:t>
            </w:r>
          </w:p>
        </w:tc>
        <w:tc>
          <w:tcPr>
            <w:tcW w:w="1276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212BCE" w:rsidRDefault="00212BCE" w:rsidP="00212BCE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850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食</w:t>
            </w:r>
            <w:r w:rsidRPr="00817BA4">
              <w:rPr>
                <w:rFonts w:ascii="宋体" w:hAnsi="宋体" w:cs="宋体" w:hint="eastAsia"/>
                <w:b/>
                <w:sz w:val="24"/>
              </w:rPr>
              <w:t>品</w:t>
            </w:r>
          </w:p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1134" w:type="dxa"/>
            <w:vAlign w:val="center"/>
          </w:tcPr>
          <w:p w:rsidR="00212BCE" w:rsidRPr="00BF49FC" w:rsidRDefault="00212BCE" w:rsidP="00212BCE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生产日期</w:t>
            </w:r>
            <w:r>
              <w:rPr>
                <w:rFonts w:ascii="宋体" w:hAnsi="宋体" w:cs="宋体" w:hint="eastAsia"/>
                <w:b/>
                <w:sz w:val="24"/>
              </w:rPr>
              <w:t>/批号</w:t>
            </w:r>
          </w:p>
        </w:tc>
        <w:tc>
          <w:tcPr>
            <w:tcW w:w="992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1086" w:type="dxa"/>
            <w:vAlign w:val="center"/>
          </w:tcPr>
          <w:p w:rsidR="00212BCE" w:rsidRDefault="00212BCE" w:rsidP="00212BCE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</w:t>
            </w:r>
          </w:p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结果</w:t>
            </w:r>
          </w:p>
        </w:tc>
        <w:tc>
          <w:tcPr>
            <w:tcW w:w="850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993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分类</w:t>
            </w:r>
          </w:p>
        </w:tc>
        <w:tc>
          <w:tcPr>
            <w:tcW w:w="1182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检验机构</w:t>
            </w:r>
          </w:p>
        </w:tc>
      </w:tr>
      <w:tr w:rsidR="00212BCE" w:rsidRPr="00817BA4" w:rsidTr="00212BCE">
        <w:trPr>
          <w:cantSplit/>
          <w:trHeight w:hRule="exact" w:val="998"/>
          <w:jc w:val="center"/>
        </w:trPr>
        <w:tc>
          <w:tcPr>
            <w:tcW w:w="387" w:type="dxa"/>
            <w:vAlign w:val="center"/>
          </w:tcPr>
          <w:p w:rsidR="00212BCE" w:rsidRPr="00212BCE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BCE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12BCE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12BCE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太仓经济</w:t>
            </w:r>
            <w:proofErr w:type="gramStart"/>
            <w:r w:rsidRPr="00342F2E">
              <w:rPr>
                <w:rFonts w:ascii="宋体" w:hAnsi="宋体" w:cs="宋体" w:hint="eastAsia"/>
                <w:sz w:val="24"/>
              </w:rPr>
              <w:t>开发区陆渡骆记</w:t>
            </w:r>
            <w:proofErr w:type="gramEnd"/>
            <w:r w:rsidRPr="00342F2E">
              <w:rPr>
                <w:rFonts w:ascii="宋体" w:hAnsi="宋体" w:cs="宋体" w:hint="eastAsia"/>
                <w:sz w:val="24"/>
              </w:rPr>
              <w:t>食品商行</w:t>
            </w:r>
          </w:p>
        </w:tc>
        <w:tc>
          <w:tcPr>
            <w:tcW w:w="1701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太仓经济</w:t>
            </w:r>
            <w:proofErr w:type="gramStart"/>
            <w:r w:rsidRPr="00342F2E">
              <w:rPr>
                <w:rFonts w:ascii="宋体" w:hAnsi="宋体" w:cs="宋体" w:hint="eastAsia"/>
                <w:sz w:val="24"/>
              </w:rPr>
              <w:t>开发区陆渡集贸</w:t>
            </w:r>
            <w:proofErr w:type="gramEnd"/>
            <w:r w:rsidRPr="00342F2E">
              <w:rPr>
                <w:rFonts w:ascii="宋体" w:hAnsi="宋体" w:cs="宋体" w:hint="eastAsia"/>
                <w:sz w:val="24"/>
              </w:rPr>
              <w:t>市场</w:t>
            </w:r>
          </w:p>
        </w:tc>
        <w:tc>
          <w:tcPr>
            <w:tcW w:w="850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牛肉</w:t>
            </w:r>
          </w:p>
        </w:tc>
        <w:tc>
          <w:tcPr>
            <w:tcW w:w="851" w:type="dxa"/>
            <w:vAlign w:val="center"/>
          </w:tcPr>
          <w:p w:rsidR="00212BCE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散装称重</w:t>
            </w:r>
          </w:p>
        </w:tc>
        <w:tc>
          <w:tcPr>
            <w:tcW w:w="1134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/>
                <w:sz w:val="24"/>
              </w:rPr>
              <w:t>2018/8/13</w:t>
            </w:r>
          </w:p>
        </w:tc>
        <w:tc>
          <w:tcPr>
            <w:tcW w:w="992" w:type="dxa"/>
            <w:vAlign w:val="center"/>
          </w:tcPr>
          <w:p w:rsidR="00212BCE" w:rsidRPr="000B1D36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胭脂红</w:t>
            </w:r>
          </w:p>
        </w:tc>
        <w:tc>
          <w:tcPr>
            <w:tcW w:w="1086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/>
                <w:sz w:val="24"/>
              </w:rPr>
              <w:t>0.0073</w:t>
            </w:r>
          </w:p>
        </w:tc>
        <w:tc>
          <w:tcPr>
            <w:tcW w:w="850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不得使用</w:t>
            </w:r>
          </w:p>
        </w:tc>
        <w:tc>
          <w:tcPr>
            <w:tcW w:w="993" w:type="dxa"/>
            <w:vAlign w:val="center"/>
          </w:tcPr>
          <w:p w:rsidR="00212BCE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D35491">
              <w:rPr>
                <w:rFonts w:ascii="宋体" w:hAnsi="宋体" w:cs="宋体" w:hint="eastAsia"/>
                <w:sz w:val="24"/>
              </w:rPr>
              <w:t>肉制品</w:t>
            </w:r>
          </w:p>
        </w:tc>
        <w:tc>
          <w:tcPr>
            <w:tcW w:w="1182" w:type="dxa"/>
            <w:vAlign w:val="center"/>
          </w:tcPr>
          <w:p w:rsidR="00212BCE" w:rsidRPr="00655468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655468">
              <w:rPr>
                <w:rFonts w:ascii="宋体" w:hAnsi="宋体" w:cs="宋体" w:hint="eastAsia"/>
                <w:sz w:val="18"/>
                <w:szCs w:val="18"/>
              </w:rPr>
              <w:t>苏州出入境检验检疫局检验检疫综合技术中心</w:t>
            </w:r>
          </w:p>
        </w:tc>
      </w:tr>
      <w:tr w:rsidR="00212BCE" w:rsidRPr="00817BA4" w:rsidTr="00212BCE">
        <w:trPr>
          <w:cantSplit/>
          <w:trHeight w:val="398"/>
          <w:jc w:val="center"/>
        </w:trPr>
        <w:tc>
          <w:tcPr>
            <w:tcW w:w="387" w:type="dxa"/>
            <w:vMerge w:val="restart"/>
            <w:vAlign w:val="center"/>
          </w:tcPr>
          <w:p w:rsidR="00212BCE" w:rsidRPr="00212BCE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BCE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212BCE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Merge w:val="restart"/>
            <w:vAlign w:val="center"/>
          </w:tcPr>
          <w:p w:rsidR="00212BCE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Merge w:val="restart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太仓经济</w:t>
            </w:r>
            <w:proofErr w:type="gramStart"/>
            <w:r w:rsidRPr="00342F2E">
              <w:rPr>
                <w:rFonts w:ascii="宋体" w:hAnsi="宋体" w:cs="宋体" w:hint="eastAsia"/>
                <w:sz w:val="24"/>
              </w:rPr>
              <w:t>开发区陆渡骆记</w:t>
            </w:r>
            <w:proofErr w:type="gramEnd"/>
            <w:r w:rsidRPr="00342F2E">
              <w:rPr>
                <w:rFonts w:ascii="宋体" w:hAnsi="宋体" w:cs="宋体" w:hint="eastAsia"/>
                <w:sz w:val="24"/>
              </w:rPr>
              <w:t>食品商行</w:t>
            </w:r>
          </w:p>
        </w:tc>
        <w:tc>
          <w:tcPr>
            <w:tcW w:w="1701" w:type="dxa"/>
            <w:vMerge w:val="restart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太仓经济</w:t>
            </w:r>
            <w:proofErr w:type="gramStart"/>
            <w:r w:rsidRPr="00342F2E">
              <w:rPr>
                <w:rFonts w:ascii="宋体" w:hAnsi="宋体" w:cs="宋体" w:hint="eastAsia"/>
                <w:sz w:val="24"/>
              </w:rPr>
              <w:t>开发区陆渡集贸</w:t>
            </w:r>
            <w:proofErr w:type="gramEnd"/>
            <w:r w:rsidRPr="00342F2E">
              <w:rPr>
                <w:rFonts w:ascii="宋体" w:hAnsi="宋体" w:cs="宋体" w:hint="eastAsia"/>
                <w:sz w:val="24"/>
              </w:rPr>
              <w:t>市场</w:t>
            </w:r>
          </w:p>
        </w:tc>
        <w:tc>
          <w:tcPr>
            <w:tcW w:w="850" w:type="dxa"/>
            <w:vMerge w:val="restart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牛肚</w:t>
            </w:r>
          </w:p>
        </w:tc>
        <w:tc>
          <w:tcPr>
            <w:tcW w:w="851" w:type="dxa"/>
            <w:vMerge w:val="restart"/>
            <w:vAlign w:val="center"/>
          </w:tcPr>
          <w:p w:rsidR="00212BCE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散装称重</w:t>
            </w:r>
          </w:p>
        </w:tc>
        <w:tc>
          <w:tcPr>
            <w:tcW w:w="1134" w:type="dxa"/>
            <w:vMerge w:val="restart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/>
                <w:sz w:val="24"/>
              </w:rPr>
              <w:t>2018/8/13</w:t>
            </w:r>
          </w:p>
        </w:tc>
        <w:tc>
          <w:tcPr>
            <w:tcW w:w="992" w:type="dxa"/>
            <w:vAlign w:val="center"/>
          </w:tcPr>
          <w:p w:rsidR="00212BCE" w:rsidRPr="000B1D36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胭脂红</w:t>
            </w:r>
          </w:p>
        </w:tc>
        <w:tc>
          <w:tcPr>
            <w:tcW w:w="1086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/>
                <w:sz w:val="24"/>
              </w:rPr>
              <w:t>0.019</w:t>
            </w:r>
          </w:p>
        </w:tc>
        <w:tc>
          <w:tcPr>
            <w:tcW w:w="850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不得使用</w:t>
            </w:r>
          </w:p>
        </w:tc>
        <w:tc>
          <w:tcPr>
            <w:tcW w:w="993" w:type="dxa"/>
            <w:vMerge w:val="restart"/>
            <w:vAlign w:val="center"/>
          </w:tcPr>
          <w:p w:rsidR="00212BCE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D35491">
              <w:rPr>
                <w:rFonts w:ascii="宋体" w:hAnsi="宋体" w:cs="宋体" w:hint="eastAsia"/>
                <w:sz w:val="24"/>
              </w:rPr>
              <w:t>肉制品</w:t>
            </w:r>
          </w:p>
        </w:tc>
        <w:tc>
          <w:tcPr>
            <w:tcW w:w="1182" w:type="dxa"/>
            <w:vMerge w:val="restart"/>
            <w:vAlign w:val="center"/>
          </w:tcPr>
          <w:p w:rsidR="00212BCE" w:rsidRPr="00655468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655468">
              <w:rPr>
                <w:rFonts w:ascii="宋体" w:hAnsi="宋体" w:cs="宋体" w:hint="eastAsia"/>
                <w:sz w:val="18"/>
                <w:szCs w:val="18"/>
              </w:rPr>
              <w:t>苏州出入境检验检疫局检验检疫综合技术中心</w:t>
            </w:r>
          </w:p>
        </w:tc>
      </w:tr>
      <w:tr w:rsidR="00212BCE" w:rsidRPr="00817BA4" w:rsidTr="00655468">
        <w:trPr>
          <w:cantSplit/>
          <w:trHeight w:hRule="exact" w:val="908"/>
          <w:jc w:val="center"/>
        </w:trPr>
        <w:tc>
          <w:tcPr>
            <w:tcW w:w="387" w:type="dxa"/>
            <w:vMerge/>
            <w:vAlign w:val="center"/>
          </w:tcPr>
          <w:p w:rsidR="00212BCE" w:rsidRPr="00212BCE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2BCE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12BCE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日落黄</w:t>
            </w:r>
          </w:p>
        </w:tc>
        <w:tc>
          <w:tcPr>
            <w:tcW w:w="1086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342F2E">
              <w:rPr>
                <w:rFonts w:ascii="宋体" w:hAnsi="宋体" w:cs="宋体"/>
                <w:sz w:val="24"/>
              </w:rPr>
              <w:t>0.041</w:t>
            </w:r>
          </w:p>
        </w:tc>
        <w:tc>
          <w:tcPr>
            <w:tcW w:w="850" w:type="dxa"/>
            <w:vAlign w:val="center"/>
          </w:tcPr>
          <w:p w:rsidR="00212BCE" w:rsidRPr="00817BA4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不得使用</w:t>
            </w:r>
          </w:p>
        </w:tc>
        <w:tc>
          <w:tcPr>
            <w:tcW w:w="993" w:type="dxa"/>
            <w:vMerge/>
            <w:vAlign w:val="center"/>
          </w:tcPr>
          <w:p w:rsidR="00212BCE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82" w:type="dxa"/>
            <w:vMerge/>
            <w:vAlign w:val="center"/>
          </w:tcPr>
          <w:p w:rsidR="00212BCE" w:rsidRPr="00655468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</w:tr>
      <w:tr w:rsidR="00655468" w:rsidRPr="00817BA4" w:rsidTr="00655468">
        <w:trPr>
          <w:cantSplit/>
          <w:trHeight w:val="510"/>
          <w:jc w:val="center"/>
        </w:trPr>
        <w:tc>
          <w:tcPr>
            <w:tcW w:w="387" w:type="dxa"/>
            <w:vMerge w:val="restart"/>
            <w:vAlign w:val="center"/>
          </w:tcPr>
          <w:p w:rsidR="00655468" w:rsidRPr="00212BCE" w:rsidRDefault="00655468" w:rsidP="00212BCE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BCE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655468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Merge w:val="restart"/>
            <w:vAlign w:val="center"/>
          </w:tcPr>
          <w:p w:rsidR="00655468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Merge w:val="restart"/>
            <w:vAlign w:val="center"/>
          </w:tcPr>
          <w:p w:rsidR="00655468" w:rsidRPr="000B1D36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太仓市陆渡镇</w:t>
            </w:r>
            <w:proofErr w:type="gramStart"/>
            <w:r w:rsidRPr="00342F2E">
              <w:rPr>
                <w:rFonts w:ascii="宋体" w:hAnsi="宋体" w:cs="宋体" w:hint="eastAsia"/>
                <w:sz w:val="24"/>
              </w:rPr>
              <w:t>来伊份熟食店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655468" w:rsidRPr="000B1D36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太仓市陆渡镇农贸市场</w:t>
            </w:r>
          </w:p>
        </w:tc>
        <w:tc>
          <w:tcPr>
            <w:tcW w:w="850" w:type="dxa"/>
            <w:vMerge w:val="restart"/>
            <w:vAlign w:val="center"/>
          </w:tcPr>
          <w:p w:rsidR="00655468" w:rsidRPr="000B1D36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牛肉</w:t>
            </w:r>
          </w:p>
        </w:tc>
        <w:tc>
          <w:tcPr>
            <w:tcW w:w="851" w:type="dxa"/>
            <w:vMerge w:val="restart"/>
            <w:vAlign w:val="center"/>
          </w:tcPr>
          <w:p w:rsidR="00655468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散装称重</w:t>
            </w:r>
          </w:p>
        </w:tc>
        <w:tc>
          <w:tcPr>
            <w:tcW w:w="1134" w:type="dxa"/>
            <w:vMerge w:val="restart"/>
            <w:vAlign w:val="center"/>
          </w:tcPr>
          <w:p w:rsidR="00655468" w:rsidRPr="000B1D36" w:rsidRDefault="00655468" w:rsidP="00443DA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35491">
              <w:rPr>
                <w:rFonts w:ascii="宋体" w:hAnsi="宋体" w:cs="宋体"/>
                <w:sz w:val="24"/>
              </w:rPr>
              <w:t>2018/8/13</w:t>
            </w:r>
          </w:p>
        </w:tc>
        <w:tc>
          <w:tcPr>
            <w:tcW w:w="992" w:type="dxa"/>
            <w:vAlign w:val="center"/>
          </w:tcPr>
          <w:p w:rsidR="00655468" w:rsidRPr="000B1D36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亚硝酸盐</w:t>
            </w:r>
          </w:p>
        </w:tc>
        <w:tc>
          <w:tcPr>
            <w:tcW w:w="1086" w:type="dxa"/>
            <w:vAlign w:val="center"/>
          </w:tcPr>
          <w:p w:rsidR="00655468" w:rsidRPr="00225359" w:rsidRDefault="00655468" w:rsidP="00443DA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35491">
              <w:rPr>
                <w:rFonts w:asciiTheme="minorEastAsia" w:hAnsiTheme="minorEastAsia" w:hint="eastAsia"/>
                <w:sz w:val="24"/>
                <w:szCs w:val="24"/>
              </w:rPr>
              <w:t>2.9×10</w:t>
            </w:r>
            <w:r w:rsidRPr="00D35491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655468" w:rsidRPr="00D35491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D35491">
              <w:rPr>
                <w:rFonts w:ascii="宋体" w:hAnsi="宋体" w:cs="宋体" w:hint="eastAsia"/>
                <w:sz w:val="24"/>
              </w:rPr>
              <w:t>≤30</w:t>
            </w:r>
          </w:p>
        </w:tc>
        <w:tc>
          <w:tcPr>
            <w:tcW w:w="993" w:type="dxa"/>
            <w:vMerge w:val="restart"/>
            <w:vAlign w:val="center"/>
          </w:tcPr>
          <w:p w:rsidR="00655468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D35491">
              <w:rPr>
                <w:rFonts w:ascii="宋体" w:hAnsi="宋体" w:cs="宋体" w:hint="eastAsia"/>
                <w:sz w:val="24"/>
              </w:rPr>
              <w:t>肉制品</w:t>
            </w:r>
          </w:p>
        </w:tc>
        <w:tc>
          <w:tcPr>
            <w:tcW w:w="1182" w:type="dxa"/>
            <w:vMerge w:val="restart"/>
            <w:vAlign w:val="center"/>
          </w:tcPr>
          <w:p w:rsidR="00655468" w:rsidRPr="00655468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655468">
              <w:rPr>
                <w:rFonts w:ascii="宋体" w:hAnsi="宋体" w:cs="宋体" w:hint="eastAsia"/>
                <w:sz w:val="18"/>
                <w:szCs w:val="18"/>
              </w:rPr>
              <w:t>苏州出入境检验检疫局检验检疫综合技术中心</w:t>
            </w:r>
          </w:p>
        </w:tc>
      </w:tr>
      <w:tr w:rsidR="00655468" w:rsidRPr="00817BA4" w:rsidTr="00655468">
        <w:trPr>
          <w:cantSplit/>
          <w:trHeight w:hRule="exact" w:val="946"/>
          <w:jc w:val="center"/>
        </w:trPr>
        <w:tc>
          <w:tcPr>
            <w:tcW w:w="387" w:type="dxa"/>
            <w:vMerge/>
            <w:vAlign w:val="center"/>
          </w:tcPr>
          <w:p w:rsidR="00655468" w:rsidRPr="00212BCE" w:rsidRDefault="00655468" w:rsidP="00212BCE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55468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5468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55468" w:rsidRPr="00342F2E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5468" w:rsidRPr="00342F2E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655468" w:rsidRPr="00342F2E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55468" w:rsidRPr="00342F2E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55468" w:rsidRPr="00D35491" w:rsidRDefault="00655468" w:rsidP="00443DA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55468" w:rsidRPr="00342F2E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胭脂红</w:t>
            </w:r>
          </w:p>
        </w:tc>
        <w:tc>
          <w:tcPr>
            <w:tcW w:w="1086" w:type="dxa"/>
            <w:vAlign w:val="center"/>
          </w:tcPr>
          <w:p w:rsidR="00655468" w:rsidRPr="00D35491" w:rsidRDefault="00655468" w:rsidP="00443D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0.021</w:t>
            </w:r>
          </w:p>
        </w:tc>
        <w:tc>
          <w:tcPr>
            <w:tcW w:w="850" w:type="dxa"/>
            <w:vAlign w:val="center"/>
          </w:tcPr>
          <w:p w:rsidR="00655468" w:rsidRPr="00D35491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不得使用</w:t>
            </w:r>
          </w:p>
        </w:tc>
        <w:tc>
          <w:tcPr>
            <w:tcW w:w="993" w:type="dxa"/>
            <w:vMerge/>
            <w:vAlign w:val="center"/>
          </w:tcPr>
          <w:p w:rsidR="00655468" w:rsidRPr="00D35491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82" w:type="dxa"/>
            <w:vMerge/>
            <w:vAlign w:val="center"/>
          </w:tcPr>
          <w:p w:rsidR="00655468" w:rsidRPr="00655468" w:rsidRDefault="00655468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212BCE" w:rsidRPr="00817BA4" w:rsidTr="00655468">
        <w:trPr>
          <w:cantSplit/>
          <w:trHeight w:hRule="exact" w:val="1135"/>
          <w:jc w:val="center"/>
        </w:trPr>
        <w:tc>
          <w:tcPr>
            <w:tcW w:w="387" w:type="dxa"/>
            <w:vAlign w:val="center"/>
          </w:tcPr>
          <w:p w:rsidR="00212BCE" w:rsidRPr="00212BCE" w:rsidRDefault="00212BCE" w:rsidP="00212BCE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BCE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12BCE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12BCE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太仓市陆渡镇</w:t>
            </w:r>
            <w:proofErr w:type="gramStart"/>
            <w:r w:rsidRPr="00342F2E">
              <w:rPr>
                <w:rFonts w:ascii="宋体" w:hAnsi="宋体" w:cs="宋体" w:hint="eastAsia"/>
                <w:sz w:val="24"/>
              </w:rPr>
              <w:t>来伊份熟食店</w:t>
            </w:r>
            <w:proofErr w:type="gramEnd"/>
          </w:p>
        </w:tc>
        <w:tc>
          <w:tcPr>
            <w:tcW w:w="1701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太仓市陆渡镇农贸市场</w:t>
            </w:r>
          </w:p>
        </w:tc>
        <w:tc>
          <w:tcPr>
            <w:tcW w:w="850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猪头肉</w:t>
            </w:r>
          </w:p>
        </w:tc>
        <w:tc>
          <w:tcPr>
            <w:tcW w:w="851" w:type="dxa"/>
            <w:vAlign w:val="center"/>
          </w:tcPr>
          <w:p w:rsidR="00212BCE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散装称重</w:t>
            </w:r>
          </w:p>
        </w:tc>
        <w:tc>
          <w:tcPr>
            <w:tcW w:w="1134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35491">
              <w:rPr>
                <w:rFonts w:ascii="宋体" w:hAnsi="宋体" w:cs="宋体"/>
                <w:sz w:val="24"/>
              </w:rPr>
              <w:t>2018/8/13</w:t>
            </w:r>
          </w:p>
        </w:tc>
        <w:tc>
          <w:tcPr>
            <w:tcW w:w="992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亚硝酸盐</w:t>
            </w:r>
          </w:p>
        </w:tc>
        <w:tc>
          <w:tcPr>
            <w:tcW w:w="1086" w:type="dxa"/>
            <w:vAlign w:val="center"/>
          </w:tcPr>
          <w:p w:rsidR="00212BCE" w:rsidRPr="00225359" w:rsidRDefault="00212BCE" w:rsidP="00443DA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35491">
              <w:rPr>
                <w:rFonts w:asciiTheme="minorEastAsia" w:hAnsiTheme="minorEastAsia" w:hint="eastAsia"/>
                <w:sz w:val="24"/>
                <w:szCs w:val="24"/>
              </w:rPr>
              <w:t>8.3×10</w:t>
            </w:r>
            <w:r w:rsidRPr="00D35491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212BCE" w:rsidRPr="000B1D36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D35491">
              <w:rPr>
                <w:rFonts w:ascii="宋体" w:hAnsi="宋体" w:cs="宋体" w:hint="eastAsia"/>
                <w:sz w:val="24"/>
              </w:rPr>
              <w:t>≤30</w:t>
            </w:r>
          </w:p>
        </w:tc>
        <w:tc>
          <w:tcPr>
            <w:tcW w:w="993" w:type="dxa"/>
            <w:vAlign w:val="center"/>
          </w:tcPr>
          <w:p w:rsidR="00212BCE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D35491">
              <w:rPr>
                <w:rFonts w:ascii="宋体" w:hAnsi="宋体" w:cs="宋体" w:hint="eastAsia"/>
                <w:sz w:val="24"/>
              </w:rPr>
              <w:t>肉制品</w:t>
            </w:r>
          </w:p>
        </w:tc>
        <w:tc>
          <w:tcPr>
            <w:tcW w:w="1182" w:type="dxa"/>
            <w:vAlign w:val="center"/>
          </w:tcPr>
          <w:p w:rsidR="00212BCE" w:rsidRPr="00655468" w:rsidRDefault="00212BCE" w:rsidP="00443DAA">
            <w:pPr>
              <w:spacing w:line="3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655468">
              <w:rPr>
                <w:rFonts w:ascii="宋体" w:hAnsi="宋体" w:cs="宋体" w:hint="eastAsia"/>
                <w:sz w:val="18"/>
                <w:szCs w:val="18"/>
              </w:rPr>
              <w:t>苏州出入境检验检疫局检验检疫综合技术中心</w:t>
            </w:r>
          </w:p>
        </w:tc>
      </w:tr>
    </w:tbl>
    <w:p w:rsidR="00212BCE" w:rsidRPr="007F3269" w:rsidRDefault="00212BCE" w:rsidP="00212BCE">
      <w:r>
        <w:rPr>
          <w:rFonts w:hint="eastAsia"/>
          <w:kern w:val="0"/>
          <w:sz w:val="24"/>
        </w:rPr>
        <w:t>以上抽检结论为不合格的产品，已移交</w:t>
      </w:r>
      <w:r w:rsidRPr="00F307F9">
        <w:rPr>
          <w:rFonts w:hint="eastAsia"/>
          <w:kern w:val="0"/>
          <w:sz w:val="24"/>
        </w:rPr>
        <w:t>相关部门依法进行调查处置。</w:t>
      </w:r>
    </w:p>
    <w:p w:rsidR="00212BCE" w:rsidRPr="00B24482" w:rsidRDefault="00212BCE" w:rsidP="00212BCE">
      <w:pPr>
        <w:rPr>
          <w:color w:val="000000"/>
          <w:kern w:val="0"/>
          <w:sz w:val="24"/>
        </w:rPr>
      </w:pPr>
      <w:r>
        <w:rPr>
          <w:rFonts w:hint="eastAsia"/>
        </w:rPr>
        <w:t>检</w:t>
      </w:r>
      <w:r>
        <w:rPr>
          <w:rFonts w:hint="eastAsia"/>
          <w:color w:val="000000"/>
          <w:kern w:val="0"/>
          <w:sz w:val="24"/>
        </w:rPr>
        <w:t>测合格批次详情见以下网址：</w:t>
      </w:r>
      <w:hyperlink r:id="rId4" w:history="1">
        <w:r w:rsidRPr="00C603A1">
          <w:rPr>
            <w:rStyle w:val="a7"/>
            <w:kern w:val="0"/>
            <w:sz w:val="24"/>
          </w:rPr>
          <w:t>http://www.taicang.gov.cn/site_publicinfo/003002/003002006/keyNote.html</w:t>
        </w:r>
      </w:hyperlink>
      <w:r>
        <w:rPr>
          <w:rFonts w:hint="eastAsia"/>
          <w:color w:val="000000"/>
          <w:kern w:val="0"/>
          <w:sz w:val="24"/>
        </w:rPr>
        <w:t>,</w:t>
      </w:r>
    </w:p>
    <w:p w:rsidR="00212BCE" w:rsidRPr="00C82293" w:rsidRDefault="00212BCE" w:rsidP="00212BCE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</w:t>
      </w:r>
      <w:r w:rsidRPr="00515A5A">
        <w:rPr>
          <w:rFonts w:ascii="仿宋_GB2312" w:eastAsia="仿宋_GB2312" w:hint="eastAsia"/>
          <w:sz w:val="32"/>
          <w:szCs w:val="32"/>
        </w:rPr>
        <w:t xml:space="preserve"> </w:t>
      </w:r>
      <w:r w:rsidRPr="00C82293">
        <w:rPr>
          <w:rFonts w:ascii="宋体" w:hAnsi="宋体" w:cs="宋体" w:hint="eastAsia"/>
          <w:sz w:val="24"/>
        </w:rPr>
        <w:t>太仓市食品安全委员会办公室</w:t>
      </w:r>
    </w:p>
    <w:p w:rsidR="00212BCE" w:rsidRPr="00C82293" w:rsidRDefault="00212BCE" w:rsidP="00212BCE">
      <w:pPr>
        <w:ind w:firstLineChars="3100" w:firstLine="744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 xml:space="preserve">                            太仓市市场监督管理局</w:t>
      </w:r>
    </w:p>
    <w:p w:rsidR="00FD0CB2" w:rsidRDefault="00212BCE" w:rsidP="00655468">
      <w:pPr>
        <w:ind w:firstLineChars="4650" w:firstLine="11160"/>
      </w:pPr>
      <w:r w:rsidRPr="00C82293">
        <w:rPr>
          <w:rFonts w:ascii="宋体" w:hAnsi="宋体" w:cs="宋体" w:hint="eastAsia"/>
          <w:sz w:val="24"/>
        </w:rPr>
        <w:t>2018年</w:t>
      </w:r>
      <w:r>
        <w:rPr>
          <w:rFonts w:ascii="宋体" w:hAnsi="宋体" w:cs="宋体" w:hint="eastAsia"/>
          <w:sz w:val="24"/>
        </w:rPr>
        <w:t>9</w:t>
      </w:r>
      <w:r w:rsidRPr="00C82293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20日</w:t>
      </w:r>
    </w:p>
    <w:sectPr w:rsidR="00FD0CB2" w:rsidSect="00212B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BCE"/>
    <w:rsid w:val="00212BCE"/>
    <w:rsid w:val="002C1739"/>
    <w:rsid w:val="00304027"/>
    <w:rsid w:val="005B0A93"/>
    <w:rsid w:val="00655468"/>
    <w:rsid w:val="007037E5"/>
    <w:rsid w:val="007515A8"/>
    <w:rsid w:val="00886F11"/>
    <w:rsid w:val="00A15FEA"/>
    <w:rsid w:val="00A75843"/>
    <w:rsid w:val="00B579C2"/>
    <w:rsid w:val="00BA51F6"/>
    <w:rsid w:val="00C97805"/>
    <w:rsid w:val="00CD2CC7"/>
    <w:rsid w:val="00D5057E"/>
    <w:rsid w:val="00DD6DA1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A51F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BA51F6"/>
    <w:rPr>
      <w:rFonts w:ascii="Times New Roman" w:hAnsi="Times New Roman" w:cs="宋体"/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"/>
    <w:uiPriority w:val="11"/>
    <w:qFormat/>
    <w:rsid w:val="00BA51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BA51F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rsid w:val="00BA51F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12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cang.gov.cn/site_publicinfo/003002/003002006/keyNote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225</Words>
  <Characters>1285</Characters>
  <Application>Microsoft Office Word</Application>
  <DocSecurity>0</DocSecurity>
  <Lines>10</Lines>
  <Paragraphs>3</Paragraphs>
  <ScaleCrop>false</ScaleCrop>
  <Company>Sky123.Org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2018-09-20T06:52:00Z</dcterms:created>
  <dcterms:modified xsi:type="dcterms:W3CDTF">2018-09-20T07:07:00Z</dcterms:modified>
</cp:coreProperties>
</file>