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b/>
          <w:sz w:val="44"/>
          <w:szCs w:val="44"/>
        </w:rPr>
      </w:pPr>
      <w:r>
        <w:rPr>
          <w:rFonts w:hint="eastAsia"/>
          <w:b/>
          <w:sz w:val="44"/>
          <w:szCs w:val="44"/>
        </w:rPr>
        <w:t>太仓市人民政府</w:t>
      </w:r>
    </w:p>
    <w:p>
      <w:pPr>
        <w:spacing w:line="560" w:lineRule="exact"/>
        <w:rPr>
          <w:rFonts w:hint="eastAsia" w:eastAsia="黑体"/>
          <w:sz w:val="44"/>
          <w:u w:val="thick"/>
        </w:rPr>
      </w:pPr>
      <w:r>
        <w:rPr>
          <w:rFonts w:hint="eastAsia" w:eastAsia="黑体"/>
          <w:sz w:val="44"/>
          <w:u w:val="thick"/>
        </w:rPr>
        <w:t xml:space="preserve">                                      </w:t>
      </w:r>
    </w:p>
    <w:p>
      <w:pPr>
        <w:spacing w:line="560" w:lineRule="exact"/>
        <w:jc w:val="center"/>
        <w:rPr>
          <w:rFonts w:hint="eastAsia" w:ascii="宋体" w:hAnsi="宋体"/>
          <w:b/>
          <w:bCs/>
          <w:sz w:val="36"/>
          <w:szCs w:val="36"/>
        </w:rPr>
      </w:pPr>
    </w:p>
    <w:p>
      <w:pPr>
        <w:spacing w:line="560" w:lineRule="exact"/>
        <w:jc w:val="center"/>
        <w:rPr>
          <w:rFonts w:hint="eastAsia" w:ascii="宋体" w:hAnsi="宋体"/>
          <w:b/>
          <w:bCs/>
          <w:sz w:val="52"/>
          <w:szCs w:val="52"/>
        </w:rPr>
      </w:pPr>
      <w:r>
        <w:rPr>
          <w:rFonts w:hint="eastAsia" w:ascii="宋体" w:hAnsi="宋体"/>
          <w:b/>
          <w:bCs/>
          <w:sz w:val="52"/>
          <w:szCs w:val="52"/>
        </w:rPr>
        <w:t>行政复议决定书</w:t>
      </w:r>
    </w:p>
    <w:p>
      <w:pPr>
        <w:spacing w:line="560" w:lineRule="exact"/>
        <w:jc w:val="right"/>
        <w:rPr>
          <w:rFonts w:hint="eastAsia" w:ascii="仿宋_GB2312" w:hAnsi="宋体" w:eastAsia="仿宋_GB2312"/>
          <w:bCs/>
          <w:sz w:val="32"/>
          <w:szCs w:val="32"/>
        </w:rPr>
      </w:pPr>
    </w:p>
    <w:p>
      <w:pPr>
        <w:topLinePunct/>
        <w:spacing w:line="580" w:lineRule="exact"/>
        <w:ind w:firstLine="4800" w:firstLineChars="1500"/>
        <w:rPr>
          <w:rFonts w:hint="eastAsia" w:ascii="仿宋" w:hAnsi="仿宋" w:eastAsia="仿宋"/>
          <w:bCs/>
          <w:kern w:val="32"/>
          <w:sz w:val="32"/>
          <w:szCs w:val="32"/>
        </w:rPr>
      </w:pPr>
      <w:r>
        <w:rPr>
          <w:rFonts w:hint="eastAsia" w:ascii="仿宋" w:hAnsi="仿宋" w:eastAsia="仿宋"/>
          <w:bCs/>
          <w:kern w:val="32"/>
          <w:sz w:val="32"/>
          <w:szCs w:val="32"/>
        </w:rPr>
        <w:t>〔2019〕太府行复第</w:t>
      </w:r>
      <w:r>
        <w:rPr>
          <w:rFonts w:hint="eastAsia" w:ascii="仿宋" w:hAnsi="仿宋" w:eastAsia="仿宋"/>
          <w:bCs/>
          <w:kern w:val="32"/>
          <w:sz w:val="32"/>
          <w:szCs w:val="32"/>
          <w:lang w:val="en-US" w:eastAsia="zh-CN"/>
        </w:rPr>
        <w:t>31</w:t>
      </w:r>
      <w:r>
        <w:rPr>
          <w:rFonts w:hint="eastAsia" w:ascii="仿宋" w:hAnsi="仿宋" w:eastAsia="仿宋"/>
          <w:bCs/>
          <w:kern w:val="32"/>
          <w:sz w:val="32"/>
          <w:szCs w:val="32"/>
        </w:rPr>
        <w:t>号</w:t>
      </w:r>
    </w:p>
    <w:p>
      <w:pPr>
        <w:topLinePunct/>
        <w:spacing w:line="580" w:lineRule="exact"/>
        <w:ind w:firstLine="4800" w:firstLineChars="1500"/>
        <w:rPr>
          <w:rFonts w:hint="eastAsia" w:ascii="仿宋" w:hAnsi="仿宋" w:eastAsia="仿宋"/>
          <w:bCs/>
          <w:kern w:val="32"/>
          <w:sz w:val="32"/>
          <w:szCs w:val="32"/>
        </w:rPr>
      </w:pP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申请人：</w:t>
      </w:r>
      <w:r>
        <w:rPr>
          <w:rFonts w:hint="eastAsia" w:ascii="仿宋" w:hAnsi="仿宋" w:eastAsia="仿宋"/>
          <w:bCs/>
          <w:color w:val="auto"/>
          <w:kern w:val="32"/>
          <w:sz w:val="32"/>
          <w:szCs w:val="32"/>
          <w:lang w:eastAsia="zh-CN"/>
        </w:rPr>
        <w:t>戴某某</w:t>
      </w:r>
      <w:r>
        <w:rPr>
          <w:rFonts w:hint="eastAsia" w:ascii="仿宋" w:hAnsi="仿宋" w:eastAsia="仿宋"/>
          <w:bCs/>
          <w:kern w:val="32"/>
          <w:sz w:val="32"/>
          <w:szCs w:val="32"/>
        </w:rPr>
        <w:t>。</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被申请人：太仓市自然资源和规划局。</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申请人对被申请人太仓市住房和城乡建设局的城乡规划管理不服，于2019年</w:t>
      </w:r>
      <w:r>
        <w:rPr>
          <w:rFonts w:hint="eastAsia" w:ascii="仿宋" w:hAnsi="仿宋" w:eastAsia="仿宋"/>
          <w:bCs/>
          <w:kern w:val="32"/>
          <w:sz w:val="32"/>
          <w:szCs w:val="32"/>
          <w:lang w:val="en-US" w:eastAsia="zh-CN"/>
        </w:rPr>
        <w:t>3</w:t>
      </w:r>
      <w:r>
        <w:rPr>
          <w:rFonts w:hint="eastAsia" w:ascii="仿宋" w:hAnsi="仿宋" w:eastAsia="仿宋"/>
          <w:bCs/>
          <w:kern w:val="32"/>
          <w:sz w:val="32"/>
          <w:szCs w:val="32"/>
        </w:rPr>
        <w:t>月</w:t>
      </w:r>
      <w:r>
        <w:rPr>
          <w:rFonts w:hint="eastAsia" w:ascii="仿宋" w:hAnsi="仿宋" w:eastAsia="仿宋"/>
          <w:bCs/>
          <w:kern w:val="32"/>
          <w:sz w:val="32"/>
          <w:szCs w:val="32"/>
          <w:lang w:val="en-US" w:eastAsia="zh-CN"/>
        </w:rPr>
        <w:t>5</w:t>
      </w:r>
      <w:r>
        <w:rPr>
          <w:rFonts w:hint="eastAsia" w:ascii="仿宋" w:hAnsi="仿宋" w:eastAsia="仿宋"/>
          <w:bCs/>
          <w:kern w:val="32"/>
          <w:sz w:val="32"/>
          <w:szCs w:val="32"/>
        </w:rPr>
        <w:t>日向本机关申请行政复议，本机关依法予以受理。</w:t>
      </w:r>
      <w:r>
        <w:rPr>
          <w:rFonts w:hint="eastAsia" w:ascii="仿宋" w:hAnsi="仿宋_GB2312" w:eastAsia="仿宋" w:cs="仿宋_GB2312"/>
          <w:kern w:val="32"/>
          <w:sz w:val="32"/>
          <w:szCs w:val="32"/>
        </w:rPr>
        <w:t>因机构改革，</w:t>
      </w:r>
      <w:r>
        <w:rPr>
          <w:rFonts w:hint="eastAsia" w:ascii="仿宋" w:hAnsi="仿宋" w:eastAsia="仿宋"/>
          <w:bCs/>
          <w:kern w:val="32"/>
          <w:sz w:val="32"/>
          <w:szCs w:val="32"/>
        </w:rPr>
        <w:t>太仓市住房和城乡建设局的城乡规划管理职责划入太仓市自然资源和规划局，本机关依法将被申请人变更为太仓市自然资源和规划局。现已审理终结。</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申请人请求：</w:t>
      </w:r>
      <w:r>
        <w:rPr>
          <w:rFonts w:hint="eastAsia" w:ascii="仿宋" w:hAnsi="仿宋" w:eastAsia="仿宋"/>
          <w:bCs/>
          <w:kern w:val="32"/>
          <w:sz w:val="32"/>
          <w:szCs w:val="32"/>
          <w:lang w:val="en-US" w:eastAsia="zh-CN"/>
        </w:rPr>
        <w:t>请求对雅鹿臻园XX幢XX室的违建认定，予以撤销，或暂不执行待以后房屋交易时再恢复原貌</w:t>
      </w:r>
      <w:r>
        <w:rPr>
          <w:rFonts w:hint="eastAsia" w:ascii="仿宋" w:hAnsi="仿宋" w:eastAsia="仿宋"/>
          <w:bCs/>
          <w:kern w:val="32"/>
          <w:sz w:val="32"/>
          <w:szCs w:val="32"/>
        </w:rPr>
        <w:t>。</w:t>
      </w:r>
    </w:p>
    <w:p>
      <w:pPr>
        <w:pStyle w:val="8"/>
        <w:topLinePunct/>
        <w:autoSpaceDE/>
        <w:autoSpaceDN/>
        <w:adjustRightInd/>
        <w:spacing w:line="580" w:lineRule="exact"/>
        <w:ind w:firstLine="640" w:firstLineChars="200"/>
        <w:jc w:val="both"/>
        <w:rPr>
          <w:rFonts w:hint="default" w:ascii="仿宋" w:hAnsi="仿宋" w:eastAsia="仿宋"/>
          <w:bCs/>
          <w:kern w:val="32"/>
          <w:sz w:val="32"/>
          <w:szCs w:val="32"/>
          <w:lang w:val="en-US" w:eastAsia="zh-CN"/>
        </w:rPr>
      </w:pPr>
      <w:r>
        <w:rPr>
          <w:rFonts w:hint="eastAsia" w:ascii="仿宋" w:hAnsi="仿宋" w:eastAsia="仿宋"/>
          <w:bCs/>
          <w:kern w:val="32"/>
          <w:sz w:val="32"/>
          <w:szCs w:val="32"/>
        </w:rPr>
        <w:t>申请人称：</w:t>
      </w:r>
      <w:r>
        <w:rPr>
          <w:rFonts w:hint="eastAsia" w:ascii="仿宋" w:hAnsi="仿宋" w:eastAsia="仿宋"/>
          <w:bCs/>
          <w:kern w:val="32"/>
          <w:sz w:val="32"/>
          <w:szCs w:val="32"/>
          <w:lang w:val="en-US" w:eastAsia="zh-CN"/>
        </w:rPr>
        <w:t>2016年8月购买雅鹿臻园联排别墅，宣传说185平米、赠送198平米，而且在参观样板房的时候，开发商销售人员明确说以后很多小露台都可以浇起来。2017年10月拿房后，根据开发商的宣传及小区和其他小区的现状，为了美观也为了房屋使用过程中阳台不积水不漏水，仅对几个小阳台顶现浇处理。2018年9月城管打电话说不行，要拆除.在他们执法的时候，当时一个最大的阳台，三楼西面南阳台约6个平方，刚把模版搭好，被他们当场拆除。二三楼共5个小阳台，从2平米到4平米不等，只是在个别的顶部打个洞，但也没打穿。在他们执法之后的10多天，我自己又把剩下的最大的、三楼西面北约4平方的给打掉。在找开发商理论无果、后续装修中也没有人及时、明确地指出哪些做法属于违建的情况下，继续进行施工，把三楼已经拆除的两个最大阳台采用阳光房封闭，并在院子里搭了一个采光井遮雨和晾衣多功能阳光房。其余四个小阳台因为顶部完好，就在侧面用玻璃窗封闭。截止2018年11月，已经把所有的窗户都装好、窗台石贴好，吊顶全部完成，油漆底涂全部完成，三楼阳光房的瓷砖贴好，院子里阳光房砖也定好完成。在这期间，网格员每天现场至此巡视也没有及时阻止，沟通时也没说不可以。2019年1月底，接到城管电话说院子里的阳光房属违建要拆除，2月25日收到城管电话，说二、三楼剩下的小阳台现浇顶和阳光房属违建要拆除。拆除损失巨大。</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申请人提供的证据材料有：</w:t>
      </w:r>
    </w:p>
    <w:p>
      <w:pPr>
        <w:topLinePunct/>
        <w:spacing w:line="580" w:lineRule="exact"/>
        <w:ind w:firstLine="640" w:firstLineChars="200"/>
        <w:rPr>
          <w:rFonts w:hint="eastAsia" w:ascii="仿宋" w:hAnsi="仿宋" w:eastAsia="仿宋" w:cs="Arial"/>
          <w:kern w:val="32"/>
          <w:sz w:val="32"/>
          <w:szCs w:val="32"/>
        </w:rPr>
      </w:pPr>
      <w:r>
        <w:rPr>
          <w:rFonts w:hint="eastAsia" w:ascii="仿宋" w:hAnsi="仿宋" w:eastAsia="仿宋" w:cs="Arial"/>
          <w:kern w:val="32"/>
          <w:sz w:val="32"/>
          <w:szCs w:val="32"/>
        </w:rPr>
        <w:t>1、在建建设规划认定书；</w:t>
      </w:r>
    </w:p>
    <w:p>
      <w:pPr>
        <w:topLinePunct/>
        <w:spacing w:line="580" w:lineRule="exact"/>
        <w:ind w:firstLine="480" w:firstLineChars="150"/>
        <w:rPr>
          <w:rFonts w:hint="eastAsia" w:ascii="仿宋" w:hAnsi="仿宋" w:eastAsia="仿宋" w:cs="仿宋"/>
          <w:kern w:val="32"/>
          <w:sz w:val="32"/>
          <w:szCs w:val="32"/>
          <w:lang w:eastAsia="zh-CN"/>
        </w:rPr>
      </w:pPr>
      <w:r>
        <w:rPr>
          <w:rFonts w:hint="eastAsia" w:ascii="仿宋" w:hAnsi="仿宋" w:eastAsia="仿宋" w:cs="Arial"/>
          <w:kern w:val="32"/>
          <w:sz w:val="32"/>
          <w:szCs w:val="32"/>
        </w:rPr>
        <w:t xml:space="preserve"> 2、</w:t>
      </w:r>
      <w:r>
        <w:rPr>
          <w:rFonts w:hint="eastAsia" w:ascii="仿宋" w:hAnsi="仿宋" w:eastAsia="仿宋" w:cs="仿宋"/>
          <w:kern w:val="32"/>
          <w:sz w:val="32"/>
          <w:szCs w:val="32"/>
        </w:rPr>
        <w:t>责令改正通知书</w:t>
      </w:r>
      <w:r>
        <w:rPr>
          <w:rFonts w:hint="eastAsia" w:ascii="仿宋" w:hAnsi="仿宋" w:eastAsia="仿宋" w:cs="仿宋"/>
          <w:kern w:val="32"/>
          <w:sz w:val="32"/>
          <w:szCs w:val="32"/>
          <w:lang w:eastAsia="zh-CN"/>
        </w:rPr>
        <w:t>；</w:t>
      </w:r>
    </w:p>
    <w:p>
      <w:pPr>
        <w:topLinePunct/>
        <w:spacing w:line="580" w:lineRule="exact"/>
        <w:ind w:firstLine="640" w:firstLineChars="200"/>
        <w:rPr>
          <w:rFonts w:hint="eastAsia" w:ascii="仿宋" w:hAnsi="仿宋" w:eastAsia="仿宋" w:cs="仿宋"/>
          <w:kern w:val="32"/>
          <w:sz w:val="32"/>
          <w:szCs w:val="32"/>
          <w:lang w:val="en-US" w:eastAsia="zh-CN"/>
        </w:rPr>
      </w:pPr>
      <w:r>
        <w:rPr>
          <w:rFonts w:hint="eastAsia" w:ascii="仿宋" w:hAnsi="仿宋" w:eastAsia="仿宋" w:cs="仿宋"/>
          <w:kern w:val="32"/>
          <w:sz w:val="32"/>
          <w:szCs w:val="32"/>
          <w:lang w:val="en-US" w:eastAsia="zh-CN"/>
        </w:rPr>
        <w:t>3、实施强制措施决定书；</w:t>
      </w:r>
    </w:p>
    <w:p>
      <w:pPr>
        <w:topLinePunct/>
        <w:spacing w:line="580" w:lineRule="exact"/>
        <w:ind w:firstLine="640" w:firstLineChars="200"/>
        <w:rPr>
          <w:rFonts w:hint="eastAsia" w:ascii="仿宋" w:hAnsi="仿宋" w:eastAsia="仿宋" w:cs="仿宋"/>
          <w:kern w:val="32"/>
          <w:sz w:val="32"/>
          <w:szCs w:val="32"/>
        </w:rPr>
      </w:pPr>
      <w:r>
        <w:rPr>
          <w:rFonts w:hint="eastAsia" w:ascii="仿宋" w:hAnsi="仿宋" w:eastAsia="仿宋" w:cs="仿宋"/>
          <w:kern w:val="32"/>
          <w:sz w:val="32"/>
          <w:szCs w:val="32"/>
          <w:lang w:val="en-US" w:eastAsia="zh-CN"/>
        </w:rPr>
        <w:t>4、宣传广告上户型图</w:t>
      </w:r>
      <w:r>
        <w:rPr>
          <w:rFonts w:hint="eastAsia" w:ascii="仿宋" w:hAnsi="仿宋" w:eastAsia="仿宋" w:cs="仿宋"/>
          <w:kern w:val="32"/>
          <w:sz w:val="32"/>
          <w:szCs w:val="32"/>
          <w:lang w:eastAsia="zh-CN"/>
        </w:rPr>
        <w:t>。</w:t>
      </w:r>
    </w:p>
    <w:p>
      <w:pPr>
        <w:pStyle w:val="8"/>
        <w:topLinePunct/>
        <w:autoSpaceDE/>
        <w:autoSpaceDN/>
        <w:adjustRightInd/>
        <w:spacing w:line="580" w:lineRule="exact"/>
        <w:ind w:firstLine="656" w:firstLineChars="205"/>
        <w:jc w:val="both"/>
        <w:rPr>
          <w:rFonts w:hint="eastAsia" w:ascii="仿宋" w:hAnsi="仿宋_GB2312" w:eastAsia="仿宋" w:cs="仿宋_GB2312"/>
          <w:kern w:val="32"/>
          <w:sz w:val="32"/>
          <w:szCs w:val="32"/>
        </w:rPr>
      </w:pPr>
      <w:r>
        <w:rPr>
          <w:rFonts w:hint="eastAsia" w:ascii="仿宋" w:hAnsi="仿宋" w:eastAsia="仿宋"/>
          <w:bCs/>
          <w:color w:val="auto"/>
          <w:kern w:val="32"/>
          <w:sz w:val="32"/>
          <w:szCs w:val="32"/>
        </w:rPr>
        <w:t>被申请人答复称：</w:t>
      </w:r>
      <w:r>
        <w:rPr>
          <w:rFonts w:hint="eastAsia" w:ascii="仿宋" w:hAnsi="仿宋" w:eastAsia="仿宋" w:cs="Arial"/>
          <w:color w:val="auto"/>
          <w:kern w:val="32"/>
          <w:sz w:val="32"/>
          <w:szCs w:val="32"/>
          <w:lang w:val="en-US" w:eastAsia="zh-CN" w:bidi="ar-SA"/>
        </w:rPr>
        <w:t>根据</w:t>
      </w:r>
      <w:r>
        <w:rPr>
          <w:rFonts w:hint="eastAsia" w:ascii="仿宋" w:hAnsi="仿宋" w:eastAsia="仿宋" w:cs="Arial"/>
          <w:kern w:val="32"/>
          <w:sz w:val="32"/>
          <w:szCs w:val="32"/>
          <w:lang w:val="en-US" w:eastAsia="zh-CN" w:bidi="ar-SA"/>
        </w:rPr>
        <w:t>《城乡规划法》第四十条之规定，申请人搭建建筑物、构筑物应当取得城市规划主管部门的许可文件，但经查询，申请人搭建案涉建筑物确实未至被申请人处办理相关规划手续，被申请人的认定书内容表述是合理合法的，不存在应予撤销的情形。案涉认定书不具有强制执行力，对申请人的权利义务不产生实际影响。对申请人的权利义务产生实际影响的并非案涉认定书，案涉《认定书》仅是对申请人搭建建筑物是否至被申请人处办理规划手续的说明，不具有强制执行力，对申请人的权利义务并不产生实际影响。综上所述，被申请人认为被申请人作出的认定书是合理合法的，不存在应予撤销的情形，申请人的行政复议申请于法无据，请求复议机关依法驳回申请人的行政复议申请。</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被申请人提供的证据有：</w:t>
      </w:r>
    </w:p>
    <w:p>
      <w:pPr>
        <w:pStyle w:val="8"/>
        <w:topLinePunct/>
        <w:autoSpaceDE/>
        <w:autoSpaceDN/>
        <w:adjustRightInd/>
        <w:spacing w:line="580" w:lineRule="exact"/>
        <w:ind w:firstLine="656" w:firstLineChars="205"/>
        <w:jc w:val="both"/>
        <w:rPr>
          <w:rFonts w:hint="eastAsia" w:ascii="仿宋" w:hAnsi="仿宋" w:eastAsia="仿宋" w:cs="Arial"/>
          <w:kern w:val="32"/>
          <w:sz w:val="32"/>
          <w:szCs w:val="32"/>
          <w:lang w:val="en-US" w:eastAsia="zh-CN" w:bidi="ar-SA"/>
        </w:rPr>
      </w:pPr>
      <w:r>
        <w:rPr>
          <w:rFonts w:hint="eastAsia" w:ascii="仿宋" w:hAnsi="仿宋" w:eastAsia="仿宋" w:cs="Arial"/>
          <w:kern w:val="32"/>
          <w:sz w:val="32"/>
          <w:szCs w:val="32"/>
          <w:lang w:val="en-US" w:eastAsia="zh-CN" w:bidi="ar-SA"/>
        </w:rPr>
        <w:t>1、现场检查笔录及照片；</w:t>
      </w:r>
    </w:p>
    <w:p>
      <w:pPr>
        <w:pStyle w:val="8"/>
        <w:topLinePunct/>
        <w:autoSpaceDE/>
        <w:autoSpaceDN/>
        <w:adjustRightInd/>
        <w:spacing w:line="580" w:lineRule="exact"/>
        <w:ind w:firstLine="656" w:firstLineChars="205"/>
        <w:jc w:val="both"/>
        <w:rPr>
          <w:rFonts w:hint="eastAsia" w:ascii="仿宋" w:hAnsi="仿宋" w:eastAsia="仿宋" w:cs="Arial"/>
          <w:kern w:val="32"/>
          <w:sz w:val="32"/>
          <w:szCs w:val="32"/>
          <w:lang w:val="en-US" w:eastAsia="zh-CN" w:bidi="ar-SA"/>
        </w:rPr>
      </w:pPr>
      <w:r>
        <w:rPr>
          <w:rFonts w:hint="eastAsia" w:ascii="仿宋" w:hAnsi="仿宋" w:eastAsia="仿宋" w:cs="Arial"/>
          <w:kern w:val="32"/>
          <w:sz w:val="32"/>
          <w:szCs w:val="32"/>
          <w:lang w:val="en-US" w:eastAsia="zh-CN" w:bidi="ar-SA"/>
        </w:rPr>
        <w:t>2、停工(核查)通知书及送达回证；</w:t>
      </w:r>
    </w:p>
    <w:p>
      <w:pPr>
        <w:pStyle w:val="8"/>
        <w:topLinePunct/>
        <w:autoSpaceDE/>
        <w:autoSpaceDN/>
        <w:adjustRightInd/>
        <w:spacing w:line="580" w:lineRule="exact"/>
        <w:ind w:firstLine="656" w:firstLineChars="205"/>
        <w:jc w:val="both"/>
        <w:rPr>
          <w:rFonts w:hint="eastAsia" w:ascii="仿宋" w:hAnsi="仿宋" w:eastAsia="仿宋" w:cs="Arial"/>
          <w:kern w:val="32"/>
          <w:sz w:val="32"/>
          <w:szCs w:val="32"/>
          <w:lang w:val="en-US" w:eastAsia="zh-CN" w:bidi="ar-SA"/>
        </w:rPr>
      </w:pPr>
      <w:r>
        <w:rPr>
          <w:rFonts w:hint="eastAsia" w:ascii="仿宋" w:hAnsi="仿宋" w:eastAsia="仿宋" w:cs="Arial"/>
          <w:kern w:val="32"/>
          <w:sz w:val="32"/>
          <w:szCs w:val="32"/>
          <w:lang w:val="en-US" w:eastAsia="zh-CN" w:bidi="ar-SA"/>
        </w:rPr>
        <w:t>3、房屋权属登记信息查询结果证明、房屋分户平面图、规划许可办理查询记录；</w:t>
      </w:r>
    </w:p>
    <w:p>
      <w:pPr>
        <w:pStyle w:val="8"/>
        <w:topLinePunct/>
        <w:autoSpaceDE/>
        <w:autoSpaceDN/>
        <w:adjustRightInd/>
        <w:spacing w:line="580" w:lineRule="exact"/>
        <w:ind w:firstLine="656" w:firstLineChars="205"/>
        <w:jc w:val="both"/>
        <w:rPr>
          <w:rFonts w:hint="eastAsia" w:ascii="仿宋" w:hAnsi="仿宋" w:eastAsia="仿宋" w:cs="Arial"/>
          <w:kern w:val="32"/>
          <w:sz w:val="32"/>
          <w:szCs w:val="32"/>
          <w:lang w:val="en-US" w:eastAsia="zh-CN" w:bidi="ar-SA"/>
        </w:rPr>
      </w:pPr>
      <w:r>
        <w:rPr>
          <w:rFonts w:hint="eastAsia" w:ascii="仿宋" w:hAnsi="仿宋" w:eastAsia="仿宋" w:cs="Arial"/>
          <w:kern w:val="32"/>
          <w:sz w:val="32"/>
          <w:szCs w:val="32"/>
          <w:lang w:val="en-US" w:eastAsia="zh-CN" w:bidi="ar-SA"/>
        </w:rPr>
        <w:t>4、在建建设规划认定书。</w:t>
      </w:r>
    </w:p>
    <w:p>
      <w:pPr>
        <w:topLinePunct/>
        <w:spacing w:line="580" w:lineRule="exact"/>
        <w:ind w:firstLine="640" w:firstLineChars="200"/>
        <w:rPr>
          <w:rFonts w:hint="eastAsia" w:ascii="仿宋" w:eastAsia="仿宋"/>
          <w:kern w:val="32"/>
          <w:sz w:val="32"/>
        </w:rPr>
      </w:pPr>
      <w:r>
        <w:rPr>
          <w:rFonts w:hint="eastAsia" w:ascii="仿宋" w:hAnsi="仿宋" w:eastAsia="仿宋"/>
          <w:bCs/>
          <w:color w:val="auto"/>
          <w:kern w:val="32"/>
          <w:sz w:val="32"/>
          <w:szCs w:val="32"/>
        </w:rPr>
        <w:t>经审</w:t>
      </w:r>
      <w:r>
        <w:rPr>
          <w:rFonts w:hint="eastAsia" w:ascii="仿宋" w:hAnsi="仿宋" w:eastAsia="仿宋"/>
          <w:bCs/>
          <w:color w:val="auto"/>
          <w:kern w:val="32"/>
          <w:sz w:val="32"/>
          <w:szCs w:val="32"/>
          <w:lang w:eastAsia="zh-CN"/>
        </w:rPr>
        <w:t>理</w:t>
      </w:r>
      <w:r>
        <w:rPr>
          <w:rFonts w:hint="eastAsia" w:ascii="仿宋" w:hAnsi="仿宋" w:eastAsia="仿宋"/>
          <w:bCs/>
          <w:color w:val="auto"/>
          <w:kern w:val="32"/>
          <w:sz w:val="32"/>
          <w:szCs w:val="32"/>
        </w:rPr>
        <w:t>查明：</w:t>
      </w:r>
      <w:r>
        <w:rPr>
          <w:rFonts w:hint="eastAsia" w:ascii="仿宋" w:hAnsi="仿宋" w:eastAsia="仿宋"/>
          <w:bCs/>
          <w:color w:val="auto"/>
          <w:kern w:val="32"/>
          <w:sz w:val="32"/>
          <w:szCs w:val="32"/>
          <w:lang w:eastAsia="zh-CN"/>
        </w:rPr>
        <w:t>申请人为雅鹿臻园</w:t>
      </w:r>
      <w:r>
        <w:rPr>
          <w:rFonts w:hint="eastAsia" w:ascii="仿宋" w:hAnsi="仿宋" w:eastAsia="仿宋"/>
          <w:bCs/>
          <w:color w:val="auto"/>
          <w:kern w:val="32"/>
          <w:sz w:val="32"/>
          <w:szCs w:val="32"/>
          <w:lang w:val="en-US" w:eastAsia="zh-CN"/>
        </w:rPr>
        <w:t>XX幢XX室所有权人。2019年2月12日，太仓市城市管理行政执法局执法人员在检查中发现，</w:t>
      </w:r>
      <w:r>
        <w:rPr>
          <w:rFonts w:hint="eastAsia" w:ascii="仿宋" w:hAnsi="仿宋" w:eastAsia="仿宋"/>
          <w:bCs/>
          <w:color w:val="auto"/>
          <w:kern w:val="32"/>
          <w:sz w:val="32"/>
          <w:szCs w:val="32"/>
        </w:rPr>
        <w:t>太仓市雅鹿臻园</w:t>
      </w:r>
      <w:r>
        <w:rPr>
          <w:rFonts w:hint="eastAsia" w:ascii="仿宋" w:hAnsi="仿宋" w:eastAsia="仿宋"/>
          <w:bCs/>
          <w:color w:val="auto"/>
          <w:kern w:val="32"/>
          <w:sz w:val="32"/>
          <w:szCs w:val="32"/>
          <w:lang w:val="en-US" w:eastAsia="zh-CN"/>
        </w:rPr>
        <w:t>XX</w:t>
      </w:r>
      <w:r>
        <w:rPr>
          <w:rFonts w:hint="eastAsia" w:ascii="仿宋" w:hAnsi="仿宋" w:eastAsia="仿宋"/>
          <w:bCs/>
          <w:color w:val="auto"/>
          <w:kern w:val="32"/>
          <w:sz w:val="32"/>
          <w:szCs w:val="32"/>
        </w:rPr>
        <w:t>幢</w:t>
      </w:r>
      <w:r>
        <w:rPr>
          <w:rFonts w:hint="eastAsia" w:ascii="仿宋" w:hAnsi="仿宋" w:eastAsia="仿宋"/>
          <w:bCs/>
          <w:color w:val="auto"/>
          <w:kern w:val="32"/>
          <w:sz w:val="32"/>
          <w:szCs w:val="32"/>
          <w:lang w:val="en-US" w:eastAsia="zh-CN"/>
        </w:rPr>
        <w:t>XX</w:t>
      </w:r>
      <w:r>
        <w:rPr>
          <w:rFonts w:hint="eastAsia" w:ascii="仿宋" w:hAnsi="仿宋" w:eastAsia="仿宋"/>
          <w:bCs/>
          <w:color w:val="auto"/>
          <w:kern w:val="32"/>
          <w:sz w:val="32"/>
          <w:szCs w:val="32"/>
        </w:rPr>
        <w:t>室</w:t>
      </w:r>
      <w:r>
        <w:rPr>
          <w:rFonts w:hint="eastAsia" w:ascii="仿宋" w:hAnsi="仿宋" w:eastAsia="仿宋"/>
          <w:bCs/>
          <w:color w:val="auto"/>
          <w:kern w:val="32"/>
          <w:sz w:val="32"/>
          <w:szCs w:val="32"/>
          <w:lang w:eastAsia="zh-CN"/>
        </w:rPr>
        <w:t>在一楼北侧、二楼东北侧、西南侧、三楼北侧、西侧等位置存在</w:t>
      </w:r>
      <w:r>
        <w:rPr>
          <w:rFonts w:hint="eastAsia" w:ascii="仿宋" w:hAnsi="仿宋" w:eastAsia="仿宋"/>
          <w:bCs/>
          <w:color w:val="auto"/>
          <w:kern w:val="32"/>
          <w:sz w:val="32"/>
          <w:szCs w:val="32"/>
        </w:rPr>
        <w:t>用</w:t>
      </w:r>
      <w:r>
        <w:rPr>
          <w:rFonts w:hint="eastAsia" w:ascii="仿宋" w:hAnsi="仿宋" w:eastAsia="仿宋"/>
          <w:bCs/>
          <w:color w:val="auto"/>
          <w:kern w:val="32"/>
          <w:sz w:val="32"/>
          <w:szCs w:val="32"/>
          <w:lang w:eastAsia="zh-CN"/>
        </w:rPr>
        <w:t>现浇、钢架、</w:t>
      </w:r>
      <w:r>
        <w:rPr>
          <w:rFonts w:hint="eastAsia" w:ascii="仿宋" w:hAnsi="仿宋" w:eastAsia="仿宋"/>
          <w:bCs/>
          <w:color w:val="auto"/>
          <w:kern w:val="32"/>
          <w:sz w:val="32"/>
          <w:szCs w:val="32"/>
        </w:rPr>
        <w:t>铝合金等材料</w:t>
      </w:r>
      <w:r>
        <w:rPr>
          <w:rFonts w:hint="eastAsia" w:ascii="仿宋" w:hAnsi="仿宋" w:eastAsia="仿宋"/>
          <w:bCs/>
          <w:color w:val="auto"/>
          <w:kern w:val="32"/>
          <w:sz w:val="32"/>
          <w:szCs w:val="32"/>
          <w:lang w:eastAsia="zh-CN"/>
        </w:rPr>
        <w:t>进行</w:t>
      </w:r>
      <w:r>
        <w:rPr>
          <w:rFonts w:hint="eastAsia" w:ascii="仿宋" w:hAnsi="仿宋" w:eastAsia="仿宋"/>
          <w:bCs/>
          <w:color w:val="auto"/>
          <w:kern w:val="32"/>
          <w:sz w:val="32"/>
          <w:szCs w:val="32"/>
        </w:rPr>
        <w:t>搭建</w:t>
      </w:r>
      <w:r>
        <w:rPr>
          <w:rFonts w:hint="eastAsia" w:ascii="仿宋" w:hAnsi="仿宋" w:eastAsia="仿宋"/>
          <w:bCs/>
          <w:color w:val="auto"/>
          <w:kern w:val="32"/>
          <w:sz w:val="32"/>
          <w:szCs w:val="32"/>
          <w:lang w:eastAsia="zh-CN"/>
        </w:rPr>
        <w:t>的情况</w:t>
      </w:r>
      <w:r>
        <w:rPr>
          <w:rFonts w:hint="eastAsia" w:ascii="仿宋" w:hAnsi="仿宋" w:eastAsia="仿宋"/>
          <w:bCs/>
          <w:color w:val="auto"/>
          <w:kern w:val="32"/>
          <w:sz w:val="32"/>
          <w:szCs w:val="32"/>
        </w:rPr>
        <w:t>，面积合计</w:t>
      </w:r>
      <w:r>
        <w:rPr>
          <w:rFonts w:hint="eastAsia" w:ascii="仿宋" w:hAnsi="仿宋" w:eastAsia="仿宋"/>
          <w:bCs/>
          <w:color w:val="auto"/>
          <w:kern w:val="32"/>
          <w:sz w:val="32"/>
          <w:szCs w:val="32"/>
          <w:lang w:val="en-US" w:eastAsia="zh-CN"/>
        </w:rPr>
        <w:t>40.15</w:t>
      </w:r>
      <w:r>
        <w:rPr>
          <w:rFonts w:hint="eastAsia" w:ascii="仿宋" w:hAnsi="仿宋" w:eastAsia="仿宋"/>
          <w:bCs/>
          <w:color w:val="auto"/>
          <w:kern w:val="32"/>
          <w:sz w:val="32"/>
          <w:szCs w:val="32"/>
        </w:rPr>
        <w:t>平方米。</w:t>
      </w:r>
      <w:r>
        <w:rPr>
          <w:rFonts w:hint="eastAsia" w:ascii="仿宋" w:hAnsi="仿宋" w:eastAsia="仿宋"/>
          <w:bCs/>
          <w:color w:val="auto"/>
          <w:kern w:val="32"/>
          <w:sz w:val="32"/>
          <w:szCs w:val="32"/>
          <w:lang w:val="en-US" w:eastAsia="zh-CN"/>
        </w:rPr>
        <w:t>2019年2</w:t>
      </w:r>
      <w:r>
        <w:rPr>
          <w:rFonts w:hint="eastAsia" w:ascii="仿宋" w:hAnsi="仿宋" w:eastAsia="仿宋"/>
          <w:bCs/>
          <w:kern w:val="32"/>
          <w:sz w:val="32"/>
          <w:szCs w:val="32"/>
          <w:lang w:val="en-US" w:eastAsia="zh-CN"/>
        </w:rPr>
        <w:t>月18日，</w:t>
      </w:r>
      <w:r>
        <w:rPr>
          <w:rFonts w:hint="eastAsia" w:ascii="仿宋" w:hAnsi="仿宋" w:eastAsia="仿宋"/>
          <w:bCs/>
          <w:kern w:val="32"/>
          <w:sz w:val="32"/>
          <w:szCs w:val="32"/>
        </w:rPr>
        <w:t>太仓市城市管理行政执法局</w:t>
      </w:r>
      <w:r>
        <w:rPr>
          <w:rFonts w:hint="eastAsia" w:ascii="仿宋" w:hAnsi="仿宋" w:eastAsia="仿宋"/>
          <w:bCs/>
          <w:kern w:val="32"/>
          <w:sz w:val="32"/>
          <w:szCs w:val="32"/>
          <w:lang w:eastAsia="zh-CN"/>
        </w:rPr>
        <w:t>将相关情况报太仓市住房和城乡建设局，同日</w:t>
      </w:r>
      <w:r>
        <w:rPr>
          <w:rFonts w:hint="eastAsia" w:ascii="仿宋" w:hAnsi="仿宋" w:eastAsia="仿宋"/>
          <w:bCs/>
          <w:kern w:val="32"/>
          <w:sz w:val="32"/>
          <w:szCs w:val="32"/>
        </w:rPr>
        <w:t>，</w:t>
      </w:r>
      <w:r>
        <w:rPr>
          <w:rFonts w:hint="eastAsia" w:ascii="仿宋" w:hAnsi="仿宋" w:eastAsia="仿宋"/>
          <w:bCs/>
          <w:kern w:val="32"/>
          <w:sz w:val="32"/>
          <w:szCs w:val="32"/>
          <w:lang w:eastAsia="zh-CN"/>
        </w:rPr>
        <w:t>太仓市住房和城乡建设局</w:t>
      </w:r>
      <w:r>
        <w:rPr>
          <w:rFonts w:hint="eastAsia" w:ascii="仿宋" w:hAnsi="仿宋" w:eastAsia="仿宋"/>
          <w:bCs/>
          <w:kern w:val="32"/>
          <w:sz w:val="32"/>
          <w:szCs w:val="32"/>
        </w:rPr>
        <w:t>作出《在建建设规划认定书》</w:t>
      </w:r>
      <w:r>
        <w:rPr>
          <w:rFonts w:hint="eastAsia" w:ascii="仿宋" w:hAnsi="仿宋" w:eastAsia="仿宋"/>
          <w:bCs/>
          <w:kern w:val="32"/>
          <w:sz w:val="32"/>
          <w:szCs w:val="32"/>
          <w:lang w:eastAsia="zh-CN"/>
        </w:rPr>
        <w:t>（文书编号：</w:t>
      </w:r>
      <w:r>
        <w:rPr>
          <w:rFonts w:hint="eastAsia" w:ascii="仿宋" w:hAnsi="仿宋" w:eastAsia="仿宋"/>
          <w:bCs/>
          <w:kern w:val="32"/>
          <w:sz w:val="32"/>
          <w:szCs w:val="32"/>
          <w:lang w:val="en-US" w:eastAsia="zh-CN"/>
        </w:rPr>
        <w:t>1800694</w:t>
      </w:r>
      <w:r>
        <w:rPr>
          <w:rFonts w:hint="eastAsia" w:ascii="仿宋" w:hAnsi="仿宋" w:eastAsia="仿宋"/>
          <w:bCs/>
          <w:kern w:val="32"/>
          <w:sz w:val="32"/>
          <w:szCs w:val="32"/>
          <w:lang w:eastAsia="zh-CN"/>
        </w:rPr>
        <w:t>），</w:t>
      </w:r>
      <w:r>
        <w:rPr>
          <w:rFonts w:hint="eastAsia" w:ascii="仿宋" w:hAnsi="仿宋" w:eastAsia="仿宋"/>
          <w:bCs/>
          <w:kern w:val="32"/>
          <w:sz w:val="32"/>
          <w:szCs w:val="32"/>
        </w:rPr>
        <w:t>认定：“雅鹿臻园</w:t>
      </w:r>
      <w:r>
        <w:rPr>
          <w:rFonts w:hint="eastAsia" w:ascii="仿宋" w:hAnsi="仿宋" w:eastAsia="仿宋"/>
          <w:bCs/>
          <w:kern w:val="32"/>
          <w:sz w:val="32"/>
          <w:szCs w:val="32"/>
          <w:lang w:val="en-US" w:eastAsia="zh-CN"/>
        </w:rPr>
        <w:t>XX</w:t>
      </w:r>
      <w:r>
        <w:rPr>
          <w:rFonts w:hint="eastAsia" w:ascii="仿宋" w:hAnsi="仿宋" w:eastAsia="仿宋"/>
          <w:bCs/>
          <w:kern w:val="32"/>
          <w:sz w:val="32"/>
          <w:szCs w:val="32"/>
        </w:rPr>
        <w:t>幢</w:t>
      </w:r>
      <w:r>
        <w:rPr>
          <w:rFonts w:hint="eastAsia" w:ascii="仿宋" w:hAnsi="仿宋" w:eastAsia="仿宋"/>
          <w:bCs/>
          <w:kern w:val="32"/>
          <w:sz w:val="32"/>
          <w:szCs w:val="32"/>
          <w:lang w:val="en-US" w:eastAsia="zh-CN"/>
        </w:rPr>
        <w:t>XX</w:t>
      </w:r>
      <w:r>
        <w:rPr>
          <w:rFonts w:hint="eastAsia" w:ascii="仿宋" w:hAnsi="仿宋" w:eastAsia="仿宋"/>
          <w:bCs/>
          <w:kern w:val="32"/>
          <w:sz w:val="32"/>
          <w:szCs w:val="32"/>
          <w:lang w:eastAsia="zh-CN"/>
        </w:rPr>
        <w:t>室</w:t>
      </w:r>
      <w:r>
        <w:rPr>
          <w:rFonts w:hint="eastAsia" w:ascii="仿宋" w:hAnsi="仿宋" w:eastAsia="仿宋"/>
          <w:bCs/>
          <w:kern w:val="32"/>
          <w:sz w:val="32"/>
          <w:szCs w:val="32"/>
        </w:rPr>
        <w:t>拟搭建的建筑物</w:t>
      </w:r>
      <w:r>
        <w:rPr>
          <w:rFonts w:hint="eastAsia" w:ascii="仿宋" w:hAnsi="仿宋" w:eastAsia="仿宋"/>
          <w:bCs/>
          <w:kern w:val="32"/>
          <w:sz w:val="32"/>
          <w:szCs w:val="32"/>
          <w:lang w:eastAsia="zh-CN"/>
        </w:rPr>
        <w:t>，</w:t>
      </w:r>
      <w:r>
        <w:rPr>
          <w:rFonts w:hint="eastAsia" w:ascii="仿宋" w:hAnsi="仿宋" w:eastAsia="仿宋"/>
          <w:bCs/>
          <w:kern w:val="32"/>
          <w:sz w:val="32"/>
          <w:szCs w:val="32"/>
        </w:rPr>
        <w:t>未办理建设工程规划许可证，属违法建设。</w:t>
      </w:r>
      <w:r>
        <w:rPr>
          <w:rFonts w:hint="eastAsia" w:ascii="仿宋" w:hAnsi="仿宋" w:eastAsia="仿宋"/>
          <w:bCs/>
          <w:color w:val="auto"/>
          <w:kern w:val="32"/>
          <w:sz w:val="32"/>
          <w:szCs w:val="32"/>
          <w:lang w:eastAsia="zh-CN"/>
        </w:rPr>
        <w:t>”</w:t>
      </w:r>
      <w:r>
        <w:rPr>
          <w:rFonts w:hint="eastAsia" w:ascii="仿宋" w:hAnsi="仿宋" w:eastAsia="仿宋"/>
          <w:bCs/>
          <w:kern w:val="32"/>
          <w:sz w:val="32"/>
          <w:szCs w:val="32"/>
          <w:lang w:eastAsia="zh-CN"/>
        </w:rPr>
        <w:t>后</w:t>
      </w:r>
      <w:r>
        <w:rPr>
          <w:rFonts w:hint="eastAsia" w:ascii="仿宋" w:hAnsi="仿宋" w:eastAsia="仿宋"/>
          <w:bCs/>
          <w:kern w:val="32"/>
          <w:sz w:val="32"/>
          <w:szCs w:val="32"/>
        </w:rPr>
        <w:t>该认定书送达申请人。</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上述事实有下列证据证实：</w:t>
      </w:r>
    </w:p>
    <w:p>
      <w:pPr>
        <w:topLinePunct/>
        <w:spacing w:line="580" w:lineRule="exact"/>
        <w:ind w:firstLine="640" w:firstLineChars="200"/>
        <w:rPr>
          <w:rFonts w:hint="eastAsia" w:ascii="仿宋" w:hAnsi="仿宋" w:eastAsia="仿宋"/>
          <w:bCs/>
          <w:kern w:val="32"/>
          <w:sz w:val="32"/>
          <w:szCs w:val="32"/>
          <w:lang w:eastAsia="zh-CN"/>
        </w:rPr>
      </w:pPr>
      <w:r>
        <w:rPr>
          <w:rFonts w:hint="eastAsia" w:ascii="仿宋" w:hAnsi="仿宋" w:eastAsia="仿宋"/>
          <w:bCs/>
          <w:kern w:val="32"/>
          <w:sz w:val="32"/>
          <w:szCs w:val="32"/>
        </w:rPr>
        <w:t>1、</w:t>
      </w:r>
      <w:r>
        <w:rPr>
          <w:rFonts w:hint="eastAsia" w:ascii="仿宋" w:hAnsi="仿宋" w:eastAsia="仿宋" w:cs="Arial"/>
          <w:kern w:val="32"/>
          <w:sz w:val="32"/>
          <w:szCs w:val="32"/>
          <w:lang w:val="en-US" w:eastAsia="zh-CN" w:bidi="ar-SA"/>
        </w:rPr>
        <w:t>房屋权属登记信息查询结果证明</w:t>
      </w:r>
      <w:r>
        <w:rPr>
          <w:rFonts w:hint="eastAsia" w:ascii="仿宋" w:hAnsi="仿宋" w:eastAsia="仿宋"/>
          <w:bCs/>
          <w:kern w:val="32"/>
          <w:sz w:val="32"/>
          <w:szCs w:val="32"/>
        </w:rPr>
        <w:t>。证明申请人</w:t>
      </w:r>
      <w:r>
        <w:rPr>
          <w:rFonts w:hint="eastAsia" w:ascii="仿宋" w:hAnsi="仿宋" w:eastAsia="仿宋"/>
          <w:bCs/>
          <w:kern w:val="32"/>
          <w:sz w:val="32"/>
          <w:szCs w:val="32"/>
          <w:lang w:eastAsia="zh-CN"/>
        </w:rPr>
        <w:t>为涉案房屋产权人。</w:t>
      </w:r>
    </w:p>
    <w:p>
      <w:pPr>
        <w:pStyle w:val="8"/>
        <w:topLinePunct/>
        <w:autoSpaceDE/>
        <w:autoSpaceDN/>
        <w:adjustRightInd/>
        <w:spacing w:line="580" w:lineRule="exact"/>
        <w:ind w:firstLine="640" w:firstLineChars="200"/>
        <w:jc w:val="both"/>
        <w:rPr>
          <w:rFonts w:hint="eastAsia" w:ascii="仿宋" w:hAnsi="仿宋_GB2312" w:eastAsia="仿宋" w:cs="仿宋_GB2312"/>
          <w:kern w:val="32"/>
          <w:sz w:val="32"/>
        </w:rPr>
      </w:pPr>
      <w:r>
        <w:rPr>
          <w:rFonts w:hint="eastAsia" w:ascii="仿宋" w:hAnsi="仿宋" w:eastAsia="仿宋" w:cs="Times New Roman"/>
          <w:bCs/>
          <w:kern w:val="32"/>
          <w:sz w:val="32"/>
          <w:szCs w:val="32"/>
          <w:lang w:val="en-US" w:eastAsia="zh-CN" w:bidi="ar-SA"/>
        </w:rPr>
        <w:t>2、规划许可办理查询记录、房屋分户平面图、现场检查笔录及照片。</w:t>
      </w:r>
      <w:r>
        <w:rPr>
          <w:rFonts w:hint="eastAsia" w:ascii="仿宋" w:hAnsi="仿宋_GB2312" w:eastAsia="仿宋" w:cs="仿宋_GB2312"/>
          <w:kern w:val="32"/>
          <w:sz w:val="32"/>
        </w:rPr>
        <w:t>证明申请人</w:t>
      </w:r>
      <w:r>
        <w:rPr>
          <w:rFonts w:hint="eastAsia" w:ascii="仿宋" w:hAnsi="仿宋_GB2312" w:eastAsia="仿宋" w:cs="仿宋_GB2312"/>
          <w:kern w:val="32"/>
          <w:sz w:val="32"/>
          <w:lang w:eastAsia="zh-CN"/>
        </w:rPr>
        <w:t>未向</w:t>
      </w:r>
      <w:r>
        <w:rPr>
          <w:rFonts w:hint="eastAsia" w:ascii="仿宋" w:hAnsi="仿宋" w:eastAsia="仿宋"/>
          <w:bCs/>
          <w:kern w:val="32"/>
          <w:sz w:val="32"/>
          <w:szCs w:val="32"/>
          <w:lang w:eastAsia="zh-CN"/>
        </w:rPr>
        <w:t>太仓市住房和城乡建设局</w:t>
      </w:r>
      <w:r>
        <w:rPr>
          <w:rFonts w:hint="eastAsia" w:ascii="仿宋" w:hAnsi="仿宋_GB2312" w:eastAsia="仿宋" w:cs="仿宋_GB2312"/>
          <w:kern w:val="32"/>
          <w:sz w:val="32"/>
          <w:lang w:eastAsia="zh-CN"/>
        </w:rPr>
        <w:t>申请规划许可即</w:t>
      </w:r>
      <w:r>
        <w:rPr>
          <w:rFonts w:hint="eastAsia" w:ascii="仿宋" w:hAnsi="仿宋_GB2312" w:eastAsia="仿宋" w:cs="仿宋_GB2312"/>
          <w:kern w:val="32"/>
          <w:sz w:val="32"/>
        </w:rPr>
        <w:t>进行搭建</w:t>
      </w:r>
      <w:r>
        <w:rPr>
          <w:rFonts w:hint="eastAsia" w:ascii="仿宋" w:eastAsia="仿宋"/>
          <w:kern w:val="32"/>
          <w:sz w:val="32"/>
          <w:szCs w:val="29"/>
          <w:lang w:eastAsia="zh-CN"/>
        </w:rPr>
        <w:t>。</w:t>
      </w:r>
    </w:p>
    <w:p>
      <w:pPr>
        <w:pStyle w:val="8"/>
        <w:topLinePunct/>
        <w:autoSpaceDE/>
        <w:autoSpaceDN/>
        <w:adjustRightInd/>
        <w:spacing w:line="580" w:lineRule="exact"/>
        <w:ind w:firstLine="640" w:firstLineChars="200"/>
        <w:jc w:val="both"/>
        <w:rPr>
          <w:rFonts w:hint="eastAsia" w:ascii="仿宋" w:hAnsi="仿宋" w:eastAsia="仿宋" w:cs="Times New Roman"/>
          <w:bCs/>
          <w:kern w:val="32"/>
          <w:sz w:val="32"/>
          <w:szCs w:val="32"/>
          <w:lang w:val="en-US" w:eastAsia="zh-CN" w:bidi="ar-SA"/>
        </w:rPr>
      </w:pPr>
      <w:r>
        <w:rPr>
          <w:rFonts w:hint="eastAsia" w:ascii="仿宋" w:hAnsi="仿宋" w:eastAsia="仿宋" w:cs="Times New Roman"/>
          <w:bCs/>
          <w:kern w:val="32"/>
          <w:sz w:val="32"/>
          <w:szCs w:val="32"/>
          <w:lang w:val="en-US" w:eastAsia="zh-CN" w:bidi="ar-SA"/>
        </w:rPr>
        <w:t>3、在建建设规划认定书。证明</w:t>
      </w:r>
      <w:r>
        <w:rPr>
          <w:rFonts w:hint="eastAsia" w:ascii="仿宋" w:hAnsi="仿宋" w:eastAsia="仿宋"/>
          <w:bCs/>
          <w:kern w:val="32"/>
          <w:sz w:val="32"/>
          <w:szCs w:val="32"/>
          <w:lang w:eastAsia="zh-CN"/>
        </w:rPr>
        <w:t>太仓市住房和城乡建设局</w:t>
      </w:r>
      <w:r>
        <w:rPr>
          <w:rFonts w:hint="eastAsia" w:ascii="仿宋" w:hAnsi="仿宋" w:eastAsia="仿宋" w:cs="Times New Roman"/>
          <w:bCs/>
          <w:kern w:val="32"/>
          <w:sz w:val="32"/>
          <w:szCs w:val="32"/>
          <w:lang w:val="en-US" w:eastAsia="zh-CN" w:bidi="ar-SA"/>
        </w:rPr>
        <w:t xml:space="preserve">认定申请人进行的搭建属违法建设的内容和时间。 </w:t>
      </w:r>
    </w:p>
    <w:p>
      <w:pPr>
        <w:topLinePunct/>
        <w:spacing w:line="580" w:lineRule="exact"/>
        <w:ind w:firstLine="640" w:firstLineChars="200"/>
        <w:rPr>
          <w:rFonts w:hint="eastAsia" w:ascii="仿宋" w:hAnsi="仿宋" w:eastAsia="仿宋"/>
          <w:bCs/>
          <w:kern w:val="32"/>
          <w:sz w:val="32"/>
          <w:szCs w:val="32"/>
          <w:lang w:eastAsia="zh-CN"/>
        </w:rPr>
      </w:pPr>
      <w:r>
        <w:rPr>
          <w:rFonts w:hint="eastAsia" w:ascii="仿宋" w:hAnsi="仿宋" w:eastAsia="仿宋"/>
          <w:bCs/>
          <w:kern w:val="32"/>
          <w:sz w:val="32"/>
          <w:szCs w:val="32"/>
        </w:rPr>
        <w:t>本机关认为：</w:t>
      </w:r>
      <w:r>
        <w:rPr>
          <w:rFonts w:hint="eastAsia" w:ascii="仿宋" w:hAnsi="仿宋" w:eastAsia="仿宋"/>
          <w:bCs/>
          <w:color w:val="auto"/>
          <w:kern w:val="32"/>
          <w:sz w:val="32"/>
          <w:szCs w:val="32"/>
        </w:rPr>
        <w:t>县级以上地方人民政府城乡规划主管部门负责本行政区域内的城乡规划管理工作</w:t>
      </w:r>
      <w:r>
        <w:rPr>
          <w:rFonts w:hint="eastAsia" w:ascii="仿宋" w:hAnsi="仿宋" w:eastAsia="仿宋"/>
          <w:bCs/>
          <w:color w:val="auto"/>
          <w:kern w:val="32"/>
          <w:sz w:val="32"/>
          <w:szCs w:val="32"/>
          <w:lang w:eastAsia="zh-CN"/>
        </w:rPr>
        <w:t>，太仓市住房和城乡建设局是进行违法建设认定的有权部门。在行政复议过程中，因机构改革，太仓市住房和城乡建设局的城乡规划管理职能转入太仓市自然资源和规划局，</w:t>
      </w:r>
      <w:bookmarkStart w:id="0" w:name="_GoBack"/>
      <w:bookmarkEnd w:id="0"/>
      <w:r>
        <w:rPr>
          <w:rFonts w:hint="eastAsia" w:ascii="仿宋" w:hAnsi="仿宋" w:eastAsia="仿宋"/>
          <w:bCs/>
          <w:color w:val="auto"/>
          <w:kern w:val="32"/>
          <w:sz w:val="32"/>
          <w:szCs w:val="32"/>
          <w:lang w:eastAsia="zh-CN"/>
        </w:rPr>
        <w:t>因此，在本案审理过程中，本机关将被申请人变更为太仓市自然资源和规划局。</w:t>
      </w:r>
      <w:r>
        <w:rPr>
          <w:rFonts w:hint="eastAsia" w:ascii="仿宋" w:eastAsia="仿宋"/>
          <w:color w:val="auto"/>
          <w:kern w:val="32"/>
          <w:sz w:val="32"/>
          <w:szCs w:val="28"/>
        </w:rPr>
        <w:t>《</w:t>
      </w:r>
      <w:r>
        <w:rPr>
          <w:rFonts w:hint="eastAsia" w:ascii="仿宋" w:eastAsia="仿宋"/>
          <w:kern w:val="32"/>
          <w:sz w:val="32"/>
          <w:szCs w:val="28"/>
        </w:rPr>
        <w:t>中华人民共和国城</w:t>
      </w:r>
      <w:r>
        <w:rPr>
          <w:rFonts w:hint="eastAsia" w:ascii="仿宋" w:eastAsia="仿宋"/>
          <w:kern w:val="32"/>
          <w:sz w:val="32"/>
          <w:szCs w:val="28"/>
          <w:lang w:eastAsia="zh-CN"/>
        </w:rPr>
        <w:t>乡</w:t>
      </w:r>
      <w:r>
        <w:rPr>
          <w:rFonts w:hint="eastAsia" w:ascii="仿宋" w:eastAsia="仿宋"/>
          <w:kern w:val="32"/>
          <w:sz w:val="32"/>
          <w:szCs w:val="28"/>
        </w:rPr>
        <w:t>规划法》</w:t>
      </w:r>
      <w:r>
        <w:rPr>
          <w:rStyle w:val="6"/>
          <w:rFonts w:hint="eastAsia" w:ascii="仿宋" w:eastAsia="仿宋"/>
          <w:b w:val="0"/>
          <w:kern w:val="32"/>
          <w:sz w:val="32"/>
          <w:szCs w:val="28"/>
        </w:rPr>
        <w:t>第四十条第一款</w:t>
      </w:r>
      <w:r>
        <w:rPr>
          <w:rFonts w:hint="eastAsia" w:ascii="仿宋" w:eastAsia="仿宋"/>
          <w:kern w:val="32"/>
          <w:sz w:val="32"/>
          <w:szCs w:val="28"/>
        </w:rPr>
        <w:t>规定，“在城市、镇规划区内进行建筑物、构筑物、道路、管线和其他工程建设的，建设单位或者个人应当向城市、县人民政府城乡规划主管部门或者省、自治区、直辖市人民政府确定的镇人民政府申请办理建设工程规划许可证。</w:t>
      </w:r>
      <w:r>
        <w:rPr>
          <w:rFonts w:hint="eastAsia" w:ascii="仿宋" w:eastAsia="仿宋"/>
          <w:color w:val="auto"/>
          <w:kern w:val="32"/>
          <w:sz w:val="32"/>
          <w:szCs w:val="28"/>
          <w:lang w:eastAsia="zh-CN"/>
        </w:rPr>
        <w:t>”</w:t>
      </w:r>
      <w:r>
        <w:rPr>
          <w:rFonts w:hint="eastAsia" w:ascii="仿宋" w:eastAsia="仿宋"/>
          <w:kern w:val="32"/>
          <w:sz w:val="32"/>
          <w:szCs w:val="28"/>
        </w:rPr>
        <w:t>本案中，</w:t>
      </w:r>
      <w:r>
        <w:rPr>
          <w:rFonts w:hint="eastAsia" w:ascii="仿宋" w:eastAsia="仿宋"/>
          <w:color w:val="auto"/>
          <w:kern w:val="32"/>
          <w:sz w:val="32"/>
          <w:szCs w:val="28"/>
          <w:lang w:eastAsia="zh-CN"/>
        </w:rPr>
        <w:t>雅鹿臻园位于城市规划区内，</w:t>
      </w:r>
      <w:r>
        <w:rPr>
          <w:rFonts w:hint="eastAsia" w:ascii="仿宋" w:eastAsia="仿宋"/>
          <w:kern w:val="32"/>
          <w:sz w:val="32"/>
          <w:szCs w:val="28"/>
        </w:rPr>
        <w:t>申请人未</w:t>
      </w:r>
      <w:r>
        <w:rPr>
          <w:rFonts w:hint="eastAsia" w:ascii="仿宋" w:eastAsia="仿宋"/>
          <w:kern w:val="32"/>
          <w:sz w:val="32"/>
          <w:szCs w:val="28"/>
          <w:lang w:eastAsia="zh-CN"/>
        </w:rPr>
        <w:t>取得</w:t>
      </w:r>
      <w:r>
        <w:rPr>
          <w:rFonts w:hint="eastAsia" w:ascii="仿宋" w:eastAsia="仿宋"/>
          <w:kern w:val="32"/>
          <w:sz w:val="32"/>
          <w:szCs w:val="28"/>
        </w:rPr>
        <w:t>建设工程规划许可证即进行建设，</w:t>
      </w:r>
      <w:r>
        <w:rPr>
          <w:rFonts w:hint="eastAsia" w:ascii="仿宋" w:eastAsia="仿宋"/>
          <w:kern w:val="32"/>
          <w:sz w:val="32"/>
          <w:szCs w:val="28"/>
          <w:lang w:eastAsia="zh-CN"/>
        </w:rPr>
        <w:t>违反了上述规定。</w:t>
      </w:r>
      <w:r>
        <w:rPr>
          <w:rFonts w:hint="eastAsia" w:ascii="仿宋" w:hAnsi="仿宋" w:eastAsia="仿宋"/>
          <w:bCs/>
          <w:color w:val="auto"/>
          <w:kern w:val="32"/>
          <w:sz w:val="32"/>
          <w:szCs w:val="32"/>
          <w:lang w:eastAsia="zh-CN"/>
        </w:rPr>
        <w:t>被申请人</w:t>
      </w:r>
      <w:r>
        <w:rPr>
          <w:rFonts w:hint="eastAsia" w:ascii="仿宋" w:eastAsia="仿宋"/>
          <w:kern w:val="32"/>
          <w:sz w:val="32"/>
          <w:szCs w:val="28"/>
          <w:lang w:eastAsia="zh-CN"/>
        </w:rPr>
        <w:t>作出违法建设的认定，</w:t>
      </w:r>
      <w:r>
        <w:rPr>
          <w:rFonts w:hint="eastAsia" w:ascii="仿宋" w:eastAsia="仿宋"/>
          <w:kern w:val="32"/>
          <w:sz w:val="32"/>
          <w:szCs w:val="29"/>
        </w:rPr>
        <w:t>事实清楚、依据充分。</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根据《中华人民共和国行政复议法》第</w:t>
      </w:r>
      <w:r>
        <w:rPr>
          <w:rFonts w:hint="eastAsia" w:ascii="仿宋" w:hAnsi="仿宋" w:eastAsia="仿宋"/>
          <w:bCs/>
          <w:kern w:val="32"/>
          <w:sz w:val="32"/>
          <w:szCs w:val="32"/>
          <w:lang w:eastAsia="zh-CN"/>
        </w:rPr>
        <w:t>二</w:t>
      </w:r>
      <w:r>
        <w:rPr>
          <w:rFonts w:hint="eastAsia" w:ascii="仿宋" w:hAnsi="仿宋" w:eastAsia="仿宋"/>
          <w:bCs/>
          <w:kern w:val="32"/>
          <w:sz w:val="32"/>
          <w:szCs w:val="32"/>
        </w:rPr>
        <w:t>十八条第一款第一项之规定，本机关决定如下：</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维持</w:t>
      </w:r>
      <w:r>
        <w:rPr>
          <w:rFonts w:hint="eastAsia" w:ascii="仿宋" w:hAnsi="仿宋" w:eastAsia="仿宋"/>
          <w:bCs/>
          <w:kern w:val="32"/>
          <w:sz w:val="32"/>
          <w:szCs w:val="32"/>
          <w:lang w:eastAsia="zh-CN"/>
        </w:rPr>
        <w:t>被申请人作出的</w:t>
      </w:r>
      <w:r>
        <w:rPr>
          <w:rFonts w:hint="eastAsia" w:ascii="仿宋" w:hAnsi="仿宋" w:eastAsia="仿宋"/>
          <w:bCs/>
          <w:kern w:val="32"/>
          <w:sz w:val="32"/>
          <w:szCs w:val="32"/>
        </w:rPr>
        <w:t>《在建建设规划认定书》。</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如对本决定不服，可以自接到本决定书之日起15日内，向</w:t>
      </w:r>
      <w:r>
        <w:rPr>
          <w:rFonts w:hint="eastAsia" w:ascii="仿宋" w:hAnsi="仿宋" w:eastAsia="仿宋"/>
          <w:bCs/>
          <w:kern w:val="32"/>
          <w:sz w:val="32"/>
          <w:szCs w:val="32"/>
          <w:lang w:eastAsia="zh-CN"/>
        </w:rPr>
        <w:t>太仓市</w:t>
      </w:r>
      <w:r>
        <w:rPr>
          <w:rFonts w:hint="eastAsia" w:ascii="仿宋" w:hAnsi="仿宋" w:eastAsia="仿宋"/>
          <w:bCs/>
          <w:kern w:val="32"/>
          <w:sz w:val="32"/>
          <w:szCs w:val="32"/>
        </w:rPr>
        <w:t>人民法院提起行政诉讼。</w:t>
      </w:r>
    </w:p>
    <w:p>
      <w:pPr>
        <w:topLinePunct/>
        <w:spacing w:line="580" w:lineRule="exact"/>
        <w:ind w:firstLine="640" w:firstLineChars="200"/>
        <w:rPr>
          <w:rFonts w:hint="eastAsia" w:ascii="仿宋" w:hAnsi="仿宋" w:eastAsia="仿宋"/>
          <w:bCs/>
          <w:kern w:val="32"/>
          <w:sz w:val="32"/>
          <w:szCs w:val="32"/>
        </w:rPr>
      </w:pPr>
    </w:p>
    <w:p>
      <w:pPr>
        <w:topLinePunct/>
        <w:spacing w:line="580" w:lineRule="exact"/>
        <w:ind w:firstLine="640" w:firstLineChars="200"/>
        <w:jc w:val="right"/>
      </w:pPr>
      <w:r>
        <w:rPr>
          <w:rFonts w:hint="eastAsia" w:ascii="仿宋" w:hAnsi="仿宋" w:eastAsia="仿宋"/>
          <w:bCs/>
          <w:kern w:val="32"/>
          <w:sz w:val="32"/>
          <w:szCs w:val="32"/>
        </w:rPr>
        <w:t xml:space="preserve">                         二</w:t>
      </w:r>
      <w:r>
        <w:rPr>
          <w:rFonts w:hint="eastAsia" w:ascii="仿宋" w:hAnsi="仿宋" w:eastAsia="仿宋" w:cs="宋体"/>
          <w:bCs/>
          <w:kern w:val="32"/>
          <w:sz w:val="32"/>
          <w:szCs w:val="32"/>
        </w:rPr>
        <w:t>〇一九</w:t>
      </w:r>
      <w:r>
        <w:rPr>
          <w:rFonts w:hint="eastAsia" w:ascii="仿宋" w:hAnsi="仿宋" w:eastAsia="仿宋"/>
          <w:bCs/>
          <w:kern w:val="32"/>
          <w:sz w:val="32"/>
          <w:szCs w:val="32"/>
        </w:rPr>
        <w:t>年五月</w:t>
      </w:r>
      <w:r>
        <w:rPr>
          <w:rFonts w:hint="eastAsia" w:ascii="仿宋" w:hAnsi="仿宋" w:eastAsia="仿宋"/>
          <w:bCs/>
          <w:kern w:val="32"/>
          <w:sz w:val="32"/>
          <w:szCs w:val="32"/>
          <w:lang w:eastAsia="zh-CN"/>
        </w:rPr>
        <w:t>二十三</w:t>
      </w:r>
      <w:r>
        <w:rPr>
          <w:rFonts w:hint="eastAsia" w:ascii="仿宋" w:hAnsi="仿宋" w:eastAsia="仿宋"/>
          <w:bCs/>
          <w:kern w:val="32"/>
          <w:sz w:val="32"/>
          <w:szCs w:val="32"/>
        </w:rPr>
        <w:t>日</w:t>
      </w:r>
    </w:p>
    <w:sectPr>
      <w:footerReference r:id="rId3" w:type="default"/>
      <w:footerReference r:id="rId4" w:type="even"/>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- 4 -</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3A4657"/>
    <w:rsid w:val="02A53690"/>
    <w:rsid w:val="02B078E9"/>
    <w:rsid w:val="06DF2FD3"/>
    <w:rsid w:val="074607DE"/>
    <w:rsid w:val="07E501D0"/>
    <w:rsid w:val="08A77FF7"/>
    <w:rsid w:val="0A4F41B5"/>
    <w:rsid w:val="0BFC7976"/>
    <w:rsid w:val="0C945468"/>
    <w:rsid w:val="0D0505D6"/>
    <w:rsid w:val="0ECF2541"/>
    <w:rsid w:val="0EDE3CBF"/>
    <w:rsid w:val="0F551477"/>
    <w:rsid w:val="0FA257C6"/>
    <w:rsid w:val="109E1DBE"/>
    <w:rsid w:val="11506F12"/>
    <w:rsid w:val="15850C32"/>
    <w:rsid w:val="16F607C5"/>
    <w:rsid w:val="180779C1"/>
    <w:rsid w:val="190C2230"/>
    <w:rsid w:val="1D3C1ACC"/>
    <w:rsid w:val="1DD73395"/>
    <w:rsid w:val="21046425"/>
    <w:rsid w:val="21362FDE"/>
    <w:rsid w:val="223053AE"/>
    <w:rsid w:val="288602B5"/>
    <w:rsid w:val="2A58573A"/>
    <w:rsid w:val="2ACC5B40"/>
    <w:rsid w:val="2B8470FA"/>
    <w:rsid w:val="2D4F7FC0"/>
    <w:rsid w:val="2FB779B5"/>
    <w:rsid w:val="323A4657"/>
    <w:rsid w:val="340669AC"/>
    <w:rsid w:val="340F078E"/>
    <w:rsid w:val="341219B9"/>
    <w:rsid w:val="3AB41037"/>
    <w:rsid w:val="3DBF7578"/>
    <w:rsid w:val="40984C35"/>
    <w:rsid w:val="40AE2EDD"/>
    <w:rsid w:val="40C20EA3"/>
    <w:rsid w:val="41382E83"/>
    <w:rsid w:val="4281226E"/>
    <w:rsid w:val="465E1B9A"/>
    <w:rsid w:val="48831155"/>
    <w:rsid w:val="48904D8D"/>
    <w:rsid w:val="4AD14946"/>
    <w:rsid w:val="4F386C4D"/>
    <w:rsid w:val="4FE82CB5"/>
    <w:rsid w:val="556B009C"/>
    <w:rsid w:val="585A750F"/>
    <w:rsid w:val="5A2772B1"/>
    <w:rsid w:val="5DC86102"/>
    <w:rsid w:val="5E033C89"/>
    <w:rsid w:val="5F8808B8"/>
    <w:rsid w:val="5FEB46EF"/>
    <w:rsid w:val="616A2155"/>
    <w:rsid w:val="62DA0703"/>
    <w:rsid w:val="63AE75C3"/>
    <w:rsid w:val="63B8372E"/>
    <w:rsid w:val="64530920"/>
    <w:rsid w:val="648C572E"/>
    <w:rsid w:val="6502625E"/>
    <w:rsid w:val="66277625"/>
    <w:rsid w:val="67BA29DA"/>
    <w:rsid w:val="6CAA0202"/>
    <w:rsid w:val="6DB1083F"/>
    <w:rsid w:val="6DCC725A"/>
    <w:rsid w:val="6F4C3A96"/>
    <w:rsid w:val="7029448E"/>
    <w:rsid w:val="728927C1"/>
    <w:rsid w:val="76FC4B5C"/>
    <w:rsid w:val="7798691E"/>
    <w:rsid w:val="784A713F"/>
    <w:rsid w:val="79466AA1"/>
    <w:rsid w:val="7A8023E7"/>
    <w:rsid w:val="7C343929"/>
    <w:rsid w:val="7DB24456"/>
    <w:rsid w:val="7FE94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Strong"/>
    <w:basedOn w:val="5"/>
    <w:qFormat/>
    <w:uiPriority w:val="0"/>
    <w:rPr>
      <w:b/>
      <w:bCs/>
    </w:rPr>
  </w:style>
  <w:style w:type="character" w:styleId="7">
    <w:name w:val="page number"/>
    <w:basedOn w:val="5"/>
    <w:qFormat/>
    <w:uiPriority w:val="0"/>
  </w:style>
  <w:style w:type="paragraph" w:customStyle="1" w:styleId="8">
    <w:name w:val="样式"/>
    <w:qFormat/>
    <w:uiPriority w:val="0"/>
    <w:pPr>
      <w:widowControl w:val="0"/>
      <w:autoSpaceDE w:val="0"/>
      <w:autoSpaceDN w:val="0"/>
      <w:adjustRightInd w:val="0"/>
    </w:pPr>
    <w:rPr>
      <w:rFonts w:ascii="宋体" w:hAnsi="Times New Roman" w:eastAsia="宋体" w:cs="宋体"/>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291</TotalTime>
  <ScaleCrop>false</ScaleCrop>
  <LinksUpToDate>false</LinksUpToDate>
  <CharactersWithSpaces>0</CharactersWithSpaces>
  <Application>WPS Office_11.1.0.9058_F1E327BC-269C-435d-A152-05C5408002CA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2019-05-08T06:34:00Z</dcterms:created>
  <dc:creator>水晶蓝贝</dc:creator>
  <cp:lastModifiedBy>水晶蓝贝</cp:lastModifiedBy>
  <dcterms:modified xsi:type="dcterms:W3CDTF">2019-09-29T08:23:55Z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