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方正小标宋简体" w:hAnsi="华文中宋" w:eastAsia="方正小标宋简体"/>
          <w:color w:val="FF0000"/>
          <w:spacing w:val="-32"/>
          <w:sz w:val="80"/>
          <w:szCs w:val="80"/>
        </w:rPr>
        <w:pict>
          <v:shape id="_x0000_i1025" o:spt="136" type="#_x0000_t136" style="height:54.8pt;width:420.6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太仓市文体广电和旅游局" style="font-family:华文中宋;font-size:40pt;font-weight:bold;v-rotate-letters:f;v-same-letter-heights:f;v-text-align:center;"/>
            <w10:wrap type="none"/>
            <w10:anchorlock/>
          </v:shape>
        </w:pict>
      </w:r>
    </w:p>
    <w:p>
      <w:pPr>
        <w:rPr>
          <w:rFonts w:hint="eastAsia" w:ascii="宋体" w:hAnsi="宋体"/>
          <w:szCs w:val="21"/>
        </w:rPr>
      </w:pPr>
    </w:p>
    <w:p>
      <w:pPr>
        <w:jc w:val="center"/>
        <w:rPr>
          <w:rFonts w:hint="eastAsia" w:ascii="楷体_GB2312" w:hAnsi="宋体" w:eastAsia="楷体_GB2312"/>
          <w:sz w:val="15"/>
          <w:szCs w:val="15"/>
          <w:lang w:val="en-US" w:eastAsia="zh-CN"/>
        </w:rPr>
      </w:pPr>
    </w:p>
    <w:p>
      <w:pPr>
        <w:jc w:val="center"/>
        <w:rPr>
          <w:rFonts w:hint="default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太文体广旅物【2020】18号</w:t>
      </w:r>
    </w:p>
    <w:p>
      <w:pPr>
        <w:spacing w:line="46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83185</wp:posOffset>
                </wp:positionV>
                <wp:extent cx="2479040" cy="21590"/>
                <wp:effectExtent l="0" t="19050" r="5080" b="203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9040" cy="2159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2.5pt;margin-top:6.55pt;height:1.7pt;width:195.2pt;z-index:251660288;mso-width-relative:page;mso-height-relative:page;" filled="f" stroked="t" coordsize="21600,21600" o:gfxdata="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54Vk2AAAAAkBAAAPAAAAAAAAAAEAIAAAACIAAABkcnMvZG93bnJldi54bWxQ&#10;SwECFAAUAAAACACHTuJAo/I3ivcBAAC3AwAADgAAAAAAAAABACAAAAAn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3086100" cy="5080"/>
                <wp:effectExtent l="0" t="4445" r="7620" b="209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7.8pt;height:0.4pt;width:243pt;z-index:251659264;mso-width-relative:page;mso-height-relative:page;" filled="f" stroked="t" coordsize="21600,21600" o:gfxdata="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6gMbNgAAAAJAQAADwAAAAAAAAABACAAAAAiAAAAZHJzL2Rvd25yZXYueG1sUEsBAhQAFAAAAAgA&#10;h07iQPXySmjsAQAAsgMAAA4AAAAAAAAAAQAgAAAAJw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color w:val="FF0000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关于公布第四批太仓市非物质文化遗产项目代表性传承人和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val="en-US" w:eastAsia="zh-CN"/>
        </w:rPr>
        <w:t>新增太仓市非遗项目保护单位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  <w:lang w:eastAsia="zh-CN"/>
        </w:rPr>
        <w:t>的通知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市文化馆、各镇文体站，各有关协会、单位：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根据《中华人民共和国非物质文化遗产法》、《江苏省非物质文化遗产保护条例》和《苏州市非物质文化遗产保护条例》，为进一步做好我市非物质文化遗产保护工作，今年以来，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批太仓市非物质文化遗产项目代表性传承人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及部分非遗保护单位的申报和评审工作。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经专家评审组评审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、推荐名单公示等程序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批太仓市非物质文化遗产项目代表性传承人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2家单位新增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为太仓市非遗项目保护单位，现予以公布。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各相关部门、协会和单位，要根据非物质文化遗产保护的相关法律法规和政策，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继续加大非物质文化遗产保护的力度，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鼓励和支持非物质文化遗产项目代表性传承人开展传习活动，切实做好非物质文化遗产保护工作。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38" w:leftChars="304" w:hanging="1600" w:hangingChars="5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批太仓市非物质文化遗产项目代表性传承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36" w:leftChars="760" w:hanging="640" w:hanging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人名单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16" w:leftChars="760" w:hanging="320" w:hangingChars="1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2.新增太仓市非遗项目保护单位名单。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太仓市文体广电和旅游局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0" w:firstLineChars="1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2020年8月17日</w:t>
      </w:r>
    </w:p>
    <w:p>
      <w:pPr>
        <w:pStyle w:val="7"/>
        <w:pBdr>
          <w:bottom w:val="single" w:color="auto" w:sz="8" w:space="3"/>
        </w:pBdr>
        <w:overflowPunct w:val="0"/>
        <w:spacing w:line="400" w:lineRule="exact"/>
        <w:rPr>
          <w:rFonts w:hint="eastAsia" w:ascii="黑体" w:eastAsia="黑体"/>
          <w:bCs w:val="0"/>
        </w:rPr>
      </w:pPr>
    </w:p>
    <w:p>
      <w:pPr>
        <w:pStyle w:val="7"/>
        <w:pBdr>
          <w:bottom w:val="single" w:color="auto" w:sz="8" w:space="3"/>
        </w:pBdr>
        <w:overflowPunct w:val="0"/>
        <w:spacing w:line="400" w:lineRule="exact"/>
        <w:rPr>
          <w:rFonts w:hint="eastAsia" w:ascii="黑体" w:eastAsia="黑体"/>
          <w:b w:val="0"/>
          <w:kern w:val="2"/>
          <w:sz w:val="30"/>
          <w:szCs w:val="30"/>
          <w:lang w:val="en-US" w:eastAsia="zh-CN"/>
        </w:rPr>
      </w:pPr>
      <w:r>
        <w:rPr>
          <w:rFonts w:hint="eastAsia" w:ascii="黑体" w:eastAsia="黑体"/>
          <w:bCs w:val="0"/>
        </w:rPr>
        <w:t>主题词：</w:t>
      </w:r>
      <w:r>
        <w:rPr>
          <w:rFonts w:hint="eastAsia" w:ascii="宋体" w:hAnsi="宋体" w:eastAsia="宋体" w:cs="宋体"/>
          <w:b/>
          <w:bCs/>
        </w:rPr>
        <w:t xml:space="preserve">公布  文化遗产  传承人  </w:t>
      </w:r>
      <w:r>
        <w:rPr>
          <w:rFonts w:hint="eastAsia" w:ascii="宋体" w:hAnsi="宋体" w:eastAsia="宋体" w:cs="宋体"/>
          <w:b/>
          <w:bCs/>
          <w:lang w:eastAsia="zh-CN"/>
        </w:rPr>
        <w:t>保护单位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</w:rPr>
        <w:t>通知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</w:p>
    <w:p>
      <w:pPr>
        <w:spacing w:line="380" w:lineRule="exact"/>
        <w:rPr>
          <w:rFonts w:hint="eastAsia" w:ascii="黑体" w:hAnsi="Times New Roman" w:eastAsia="黑体" w:cs="宋体"/>
          <w:b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抄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sz w:val="28"/>
          <w:szCs w:val="28"/>
        </w:rPr>
        <w:t>委宣传部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市政府办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苏州市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文广旅</w:t>
      </w:r>
      <w:r>
        <w:rPr>
          <w:rFonts w:hint="eastAsia" w:ascii="仿宋_GB2312" w:hAnsi="宋体" w:eastAsia="仿宋_GB2312"/>
          <w:sz w:val="28"/>
          <w:szCs w:val="28"/>
        </w:rPr>
        <w:t>局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苏州市非遗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30606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60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4.9pt;height:0.7pt;width:417.8pt;z-index:251658240;mso-width-relative:page;mso-height-relative:page;" filled="f" stroked="t" coordsize="21600,21600" o:gfxdata="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cbK53UAAAABQEA&#10;AA8AAAAAAAAAAQAgAAAAIgAAAGRycy9kb3ducmV2LnhtbFBLAQIUABQAAAAIAIdO4kAUo9Rf5QEA&#10;AKM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太仓市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文体广旅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局办公室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日印发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第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批太仓市非物质文化遗产项目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代表性传承人名单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5"/>
        <w:tblW w:w="916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05"/>
        <w:gridCol w:w="292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29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项目名称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传承人姓名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传统体育、游艺与杂技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杨氏太极拳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曹孝玲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孙式太极拳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沈宝发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传统技艺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箍桶制作技艺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太仓江海河三鲜烹饪技艺（老戚浦江鲜烹饪技艺）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太仓糟油制作技艺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苏州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</w:rPr>
              <w:t>明式家具制作技艺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（璜泾红木雕刻）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双凤龙狮制作技艺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顾浩强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传统医药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钱氏中医外治法（银铜杵锤和药酒罐疗法）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钱卫东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1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方氏中医外科（皮肤病）治疗技艺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传统戏剧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沪剧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Theme="maj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杨金花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王铁强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新增太仓市非遗项目保护单位名单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tbl>
      <w:tblPr>
        <w:tblStyle w:val="5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50"/>
        <w:gridCol w:w="3105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65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项目类别</w:t>
            </w:r>
          </w:p>
        </w:tc>
        <w:tc>
          <w:tcPr>
            <w:tcW w:w="310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295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传统技艺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苏州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明式家具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制作技艺（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璜泾红木雕刻）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太仓市沙溪镇文体站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传统戏剧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沪剧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太仓市戏曲家协会</w:t>
            </w:r>
          </w:p>
        </w:tc>
      </w:tr>
    </w:tbl>
    <w:p>
      <w:pPr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5736"/>
    <w:rsid w:val="16675736"/>
    <w:rsid w:val="3CA860D3"/>
    <w:rsid w:val="4DB82E05"/>
    <w:rsid w:val="5E733F48"/>
    <w:rsid w:val="6CB518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主题词"/>
    <w:basedOn w:val="1"/>
    <w:qFormat/>
    <w:uiPriority w:val="0"/>
    <w:pPr>
      <w:autoSpaceDE w:val="0"/>
      <w:autoSpaceDN w:val="0"/>
      <w:adjustRightInd w:val="0"/>
      <w:snapToGrid w:val="0"/>
      <w:spacing w:line="240" w:lineRule="atLeast"/>
      <w:jc w:val="left"/>
    </w:pPr>
    <w:rPr>
      <w:rFonts w:ascii="宋体" w:hAnsi="Times New Roman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2020-08-13T01:16:00Z</dcterms:created>
  <dc:creator>Administrator</dc:creator>
  <cp:lastModifiedBy>Administrator</cp:lastModifiedBy>
  <cp:lastPrinted>2020-08-17T07:52:08Z</cp:lastPrinted>
  <dcterms:modified xsi:type="dcterms:W3CDTF">2020-08-17T07:52:16Z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