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eastAsia="楷体_GB2312"/>
          <w:b/>
          <w:bCs/>
        </w:rPr>
      </w:pPr>
      <w:r>
        <w:rPr>
          <w:rFonts w:ascii="Times New Roman" w:eastAsia="楷体_GB2312"/>
          <w:b/>
          <w:bCs/>
        </w:rPr>
        <w:t>9.</w:t>
      </w:r>
      <w:bookmarkStart w:id="0" w:name="_Hlk34920983"/>
      <w:r>
        <w:rPr>
          <w:rFonts w:ascii="Times New Roman" w:eastAsia="楷体_GB2312"/>
          <w:b/>
          <w:bCs/>
        </w:rPr>
        <w:t>2 太仓市突发事件应急工作组及其主要职责</w:t>
      </w:r>
      <w:bookmarkEnd w:id="0"/>
    </w:p>
    <w:tbl>
      <w:tblPr>
        <w:tblStyle w:val="2"/>
        <w:tblW w:w="495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937"/>
        <w:gridCol w:w="98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  <w:jc w:val="center"/>
        </w:trPr>
        <w:tc>
          <w:tcPr>
            <w:tcW w:w="444" w:type="pct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ascii="Times New Roman" w:eastAsia="黑体"/>
                <w:bCs/>
                <w:sz w:val="24"/>
              </w:rPr>
              <w:t>序号</w:t>
            </w:r>
          </w:p>
        </w:tc>
        <w:tc>
          <w:tcPr>
            <w:tcW w:w="1046" w:type="pct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ascii="Times New Roman" w:eastAsia="黑体"/>
                <w:bCs/>
                <w:sz w:val="24"/>
              </w:rPr>
              <w:t>名称</w:t>
            </w:r>
          </w:p>
        </w:tc>
        <w:tc>
          <w:tcPr>
            <w:tcW w:w="3510" w:type="pct"/>
            <w:vAlign w:val="center"/>
          </w:tcPr>
          <w:p>
            <w:pPr>
              <w:jc w:val="center"/>
              <w:rPr>
                <w:rFonts w:ascii="Times New Roman" w:eastAsia="黑体"/>
                <w:bCs/>
                <w:sz w:val="24"/>
              </w:rPr>
            </w:pPr>
            <w:r>
              <w:rPr>
                <w:rFonts w:ascii="Times New Roman" w:eastAsia="黑体"/>
                <w:bCs/>
                <w:sz w:val="24"/>
              </w:rPr>
              <w:t>主要职责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1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综合协调组</w:t>
            </w:r>
          </w:p>
        </w:tc>
        <w:tc>
          <w:tcPr>
            <w:tcW w:w="3510" w:type="pct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（1）承担现场指挥的综合协调、指令接收转发、信息收集上报、调配应急力量和资源等工作；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（2）协调消防、抗旱排涝等专业应急救援队参与事故救援工作；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（3）组织做好现场处置工作的总结评估，提出改进措施与建议；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（4）做好应急救援工作文件、影像资料的搜集、整理、保管和归档等工作。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2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灾害监测组</w:t>
            </w:r>
          </w:p>
        </w:tc>
        <w:tc>
          <w:tcPr>
            <w:tcW w:w="3510" w:type="pct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对涉事区域进行环境、气象等监测工作，提出防止发生次生、衍生灾害的措施建议。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3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抢险救援组</w:t>
            </w:r>
          </w:p>
        </w:tc>
        <w:tc>
          <w:tcPr>
            <w:tcW w:w="3510" w:type="pct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（1）实施人员搜救、事故处置、工程抢险、工程加固和事故现场清理等工作；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（2）控制危险源，防止次生、衍生事故发生。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4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疏散警戒组</w:t>
            </w:r>
          </w:p>
        </w:tc>
        <w:tc>
          <w:tcPr>
            <w:tcW w:w="3510" w:type="pct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（1）负责组织事故可能危及区域有关人员的紧急疏散、撤离、事故现场保护和警戒、维护现场秩序等工作。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（2）根据实际情况实行交通管制和疏导。开辟应急运输绿色通道，确保救灾物资、装备和人员的紧急输送。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5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医疗卫生组</w:t>
            </w:r>
          </w:p>
        </w:tc>
        <w:tc>
          <w:tcPr>
            <w:tcW w:w="3510" w:type="pct"/>
            <w:vAlign w:val="center"/>
          </w:tcPr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（1）调度本市医疗队伍，设立临时医疗点，协调外部医疗机构，为救援人员、事故受伤人员提供医疗保障服务；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（2）做好现场救援区域的防疫消毒；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（3）向受伤人员和受灾群众提供心理卫生咨询和帮助。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6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后勤保障组</w:t>
            </w:r>
          </w:p>
        </w:tc>
        <w:tc>
          <w:tcPr>
            <w:tcW w:w="3510" w:type="pct"/>
            <w:vAlign w:val="center"/>
          </w:tcPr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根据应急处置工作需要，及时提供资金、物资、装备、食品、交通、供电、供水、供气和通信等方面的后勤服务和资源保障。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7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信息发布组</w:t>
            </w:r>
          </w:p>
        </w:tc>
        <w:tc>
          <w:tcPr>
            <w:tcW w:w="3510" w:type="pct"/>
            <w:vAlign w:val="center"/>
          </w:tcPr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（1）统筹协调媒体现场管理，做好事件舆论引导，组织新闻发布工作；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（2）做好新闻应对发布和集体采访组织活动；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（3）做好境内外媒体沟通协调和组织联络工作；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（4）向专项应急指挥机构和事件相关单位、港口、镇（区）人民政府（管委会）、街道办事处通报舆情进展，提出应对建议。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8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善后处置组</w:t>
            </w:r>
          </w:p>
        </w:tc>
        <w:tc>
          <w:tcPr>
            <w:tcW w:w="3510" w:type="pct"/>
            <w:vAlign w:val="center"/>
          </w:tcPr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（1）做好受灾群众、死难（失联）人员亲属信息登记、食宿接待和安抚疏导等善后工作；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（2）做好遇难者遗体的保存、处理和殡葬服务等善后工作；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（3）做好遇难、受灾人员和受损企业的经济补偿等善后工作；</w:t>
            </w:r>
          </w:p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（4）做好灾后恢复重建等工作。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4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9</w:t>
            </w:r>
          </w:p>
        </w:tc>
        <w:tc>
          <w:tcPr>
            <w:tcW w:w="1046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楷体_GB2312"/>
                <w:b/>
                <w:bCs/>
                <w:sz w:val="24"/>
              </w:rPr>
            </w:pPr>
            <w:r>
              <w:rPr>
                <w:rFonts w:ascii="Times New Roman" w:eastAsia="楷体_GB2312"/>
                <w:b/>
                <w:bCs/>
                <w:sz w:val="24"/>
              </w:rPr>
              <w:t>专家组</w:t>
            </w:r>
          </w:p>
        </w:tc>
        <w:tc>
          <w:tcPr>
            <w:tcW w:w="3510" w:type="pct"/>
            <w:vAlign w:val="center"/>
          </w:tcPr>
          <w:p>
            <w:pPr>
              <w:spacing w:line="440" w:lineRule="exact"/>
              <w:ind w:firstLine="472" w:firstLineChars="200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>对事故发展趋势、抢险救援方案等提出建议，为应急救援行动的决策提供技术支持。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eastAsia="仿宋_GB2312"/>
                <w:sz w:val="24"/>
              </w:rPr>
            </w:pPr>
            <w:r>
              <w:rPr>
                <w:rFonts w:ascii="Times New Roman" w:eastAsia="黑体"/>
                <w:sz w:val="24"/>
              </w:rPr>
              <w:t>说明：</w:t>
            </w:r>
            <w:r>
              <w:rPr>
                <w:rFonts w:ascii="Times New Roman" w:eastAsia="仿宋_GB2312"/>
                <w:sz w:val="24"/>
              </w:rPr>
              <w:t>太仓市突发事件应急工作组设置、牵头部门、成员组成及各个应急工作组职责在各个专项应急预案中明确、细化。</w:t>
            </w:r>
          </w:p>
        </w:tc>
      </w:tr>
    </w:tbl>
    <w:p>
      <w:pPr>
        <w:spacing w:line="600" w:lineRule="exact"/>
        <w:ind w:left="0" w:leftChars="0" w:firstLine="0" w:firstLineChars="0"/>
        <w:rPr>
          <w:rFonts w:ascii="Times New Roman" w:eastAsia="仿宋_GB231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AndChars" w:linePitch="589" w:charSpace="-878"/>
        </w:sectPr>
      </w:pPr>
      <w:bookmarkStart w:id="1" w:name="_GoBack"/>
      <w:bookmarkEnd w:id="1"/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44F83"/>
    <w:rsid w:val="1FD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2020-12-24T07:20:00Z</dcterms:created>
  <dc:creator>fight for myself</dc:creator>
  <cp:lastModifiedBy>fight for myself</cp:lastModifiedBy>
  <dcterms:modified xsi:type="dcterms:W3CDTF">2020-12-24T07:21:17Z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