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7005"/>
        </w:tabs>
        <w:spacing w:line="240" w:lineRule="auto"/>
        <w:ind w:firstLine="0"/>
        <w:jc w:val="center"/>
        <w:rPr>
          <w:rFonts w:ascii="Times New Roman" w:eastAsia="方正大标宋简体"/>
          <w:sz w:val="44"/>
          <w:szCs w:val="44"/>
        </w:rPr>
      </w:pPr>
      <w:r>
        <w:rPr>
          <w:rFonts w:ascii="Times New Roman" w:eastAsia="方正大标宋简体"/>
          <w:sz w:val="44"/>
          <w:szCs w:val="44"/>
        </w:rPr>
        <w:t>太仓市民生灾害综合保险实施办法</w:t>
      </w:r>
    </w:p>
    <w:p>
      <w:pPr>
        <w:tabs>
          <w:tab w:val="center" w:pos="4153"/>
          <w:tab w:val="left" w:pos="7005"/>
        </w:tabs>
        <w:spacing w:line="240" w:lineRule="auto"/>
        <w:ind w:firstLine="0"/>
        <w:jc w:val="center"/>
        <w:rPr>
          <w:rFonts w:ascii="Times New Roman" w:eastAsia="方正大标宋简体"/>
          <w:sz w:val="44"/>
          <w:szCs w:val="44"/>
        </w:rPr>
      </w:pPr>
    </w:p>
    <w:p>
      <w:pPr>
        <w:snapToGrid/>
        <w:spacing w:line="560" w:lineRule="exact"/>
        <w:ind w:firstLine="640" w:firstLineChars="200"/>
        <w:rPr>
          <w:rFonts w:ascii="Times New Roman" w:eastAsia="仿宋_GB2312"/>
          <w:szCs w:val="32"/>
        </w:rPr>
      </w:pPr>
      <w:r>
        <w:rPr>
          <w:rFonts w:ascii="Times New Roman" w:eastAsia="仿宋_GB2312"/>
          <w:szCs w:val="32"/>
        </w:rPr>
        <w:t>为减轻自然灾害和相关意外事故给我市人民生命、财产造成的损失，预防、化解和降低潜在的灾害风险，增强市民防灾抗灾能力，</w:t>
      </w:r>
      <w:r>
        <w:rPr>
          <w:rFonts w:ascii="Times New Roman" w:eastAsia="仿宋_GB2312"/>
          <w:color w:val="000000"/>
          <w:szCs w:val="32"/>
        </w:rPr>
        <w:t>根据国务院《社会救助暂行办法》《江苏省社会救助办法》《苏州市临时救助实施办法》等相关文件精神，</w:t>
      </w:r>
      <w:r>
        <w:rPr>
          <w:rFonts w:ascii="Times New Roman" w:eastAsia="仿宋_GB2312"/>
          <w:szCs w:val="32"/>
        </w:rPr>
        <w:t>进一步完善我市民生灾害综合保险工作，具体实施办法如下：</w:t>
      </w:r>
    </w:p>
    <w:p>
      <w:pPr>
        <w:snapToGrid/>
        <w:spacing w:line="560" w:lineRule="exact"/>
        <w:ind w:firstLineChars="198"/>
        <w:rPr>
          <w:rFonts w:ascii="Times New Roman" w:eastAsia="黑体"/>
          <w:szCs w:val="32"/>
        </w:rPr>
      </w:pPr>
      <w:r>
        <w:rPr>
          <w:rFonts w:ascii="Times New Roman" w:eastAsia="黑体"/>
          <w:szCs w:val="32"/>
        </w:rPr>
        <w:t>一、保险险种和运作模式</w:t>
      </w:r>
    </w:p>
    <w:p>
      <w:pPr>
        <w:snapToGrid/>
        <w:spacing w:line="560" w:lineRule="exact"/>
        <w:ind w:firstLine="640" w:firstLineChars="200"/>
        <w:rPr>
          <w:rFonts w:ascii="Times New Roman" w:eastAsia="仿宋_GB2312"/>
          <w:szCs w:val="32"/>
        </w:rPr>
      </w:pPr>
      <w:r>
        <w:rPr>
          <w:rFonts w:ascii="Times New Roman" w:eastAsia="仿宋_GB2312"/>
          <w:szCs w:val="32"/>
        </w:rPr>
        <w:t>太仓市民生灾害综合保险由“自然灾害团体人身意外伤害保险”和“自然灾害房屋保险”两部分组成。市应急管理局是民生灾害综合保险实施工作的主要职能部门，应按照政府采购的相关规定，通过购买服务方式，委托中标的保险公司实际运作。</w:t>
      </w:r>
    </w:p>
    <w:p>
      <w:pPr>
        <w:snapToGrid/>
        <w:spacing w:line="560" w:lineRule="exact"/>
        <w:ind w:firstLineChars="198"/>
        <w:rPr>
          <w:rFonts w:ascii="Times New Roman" w:eastAsia="黑体"/>
          <w:szCs w:val="32"/>
        </w:rPr>
      </w:pPr>
      <w:r>
        <w:rPr>
          <w:rFonts w:ascii="Times New Roman" w:eastAsia="黑体"/>
          <w:szCs w:val="32"/>
        </w:rPr>
        <w:t>二、保障对象</w:t>
      </w:r>
    </w:p>
    <w:p>
      <w:pPr>
        <w:snapToGrid/>
        <w:spacing w:line="560" w:lineRule="exact"/>
        <w:ind w:firstLine="640" w:firstLineChars="200"/>
        <w:rPr>
          <w:rFonts w:ascii="Times New Roman" w:eastAsia="仿宋_GB2312"/>
          <w:color w:val="000000"/>
          <w:szCs w:val="32"/>
        </w:rPr>
      </w:pPr>
      <w:r>
        <w:rPr>
          <w:rFonts w:ascii="Times New Roman" w:eastAsia="仿宋_GB2312"/>
          <w:szCs w:val="32"/>
        </w:rPr>
        <w:t>（一）</w:t>
      </w:r>
      <w:r>
        <w:rPr>
          <w:rFonts w:ascii="Times New Roman" w:eastAsia="仿宋_GB2312"/>
          <w:color w:val="000000"/>
          <w:szCs w:val="32"/>
        </w:rPr>
        <w:t>自然灾害团体人身意外伤害保险保障对象为本市户籍居民和在我市已办理居住证并在事发</w:t>
      </w:r>
      <w:r>
        <w:rPr>
          <w:rFonts w:ascii="Times New Roman" w:eastAsia="仿宋_GB2312"/>
          <w:szCs w:val="32"/>
        </w:rPr>
        <w:t>时正常缴纳社会保险一年以上</w:t>
      </w:r>
      <w:r>
        <w:rPr>
          <w:rFonts w:ascii="Times New Roman" w:eastAsia="仿宋_GB2312"/>
          <w:color w:val="000000"/>
          <w:szCs w:val="32"/>
        </w:rPr>
        <w:t>的新市民，户籍居民名单以市公安局提供的为准，新市民名单以市人社局提供的为准。</w:t>
      </w:r>
    </w:p>
    <w:p>
      <w:pPr>
        <w:snapToGrid/>
        <w:spacing w:line="560" w:lineRule="exact"/>
        <w:ind w:firstLine="640" w:firstLineChars="200"/>
        <w:rPr>
          <w:rFonts w:ascii="Times New Roman" w:eastAsia="仿宋_GB2312"/>
          <w:szCs w:val="32"/>
        </w:rPr>
      </w:pPr>
      <w:r>
        <w:rPr>
          <w:rFonts w:ascii="Times New Roman" w:eastAsia="仿宋_GB2312"/>
          <w:szCs w:val="32"/>
        </w:rPr>
        <w:t>（二）自然灾害房屋保险保障对象为：太仓市户籍居民在本市行政区域居民自住的1处房屋，该房屋以市公安局户籍登记的为准。同一户籍居民拥有多处房屋的，如需投保或增加保额的，由居民自费向保险公司投保。</w:t>
      </w:r>
    </w:p>
    <w:p>
      <w:pPr>
        <w:snapToGrid/>
        <w:spacing w:line="560" w:lineRule="exact"/>
        <w:ind w:firstLineChars="198"/>
        <w:rPr>
          <w:rFonts w:ascii="Times New Roman" w:eastAsia="黑体"/>
          <w:szCs w:val="32"/>
        </w:rPr>
      </w:pPr>
      <w:r>
        <w:rPr>
          <w:rFonts w:ascii="Times New Roman" w:eastAsia="黑体"/>
          <w:szCs w:val="32"/>
        </w:rPr>
        <w:t>三、保费标准</w:t>
      </w:r>
    </w:p>
    <w:p>
      <w:pPr>
        <w:snapToGrid/>
        <w:spacing w:line="560" w:lineRule="exact"/>
        <w:ind w:firstLineChars="198"/>
        <w:rPr>
          <w:rFonts w:ascii="Times New Roman" w:eastAsia="仿宋_GB2312"/>
          <w:szCs w:val="32"/>
        </w:rPr>
      </w:pPr>
      <w:r>
        <w:rPr>
          <w:rFonts w:ascii="Times New Roman" w:eastAsia="仿宋_GB2312"/>
          <w:szCs w:val="32"/>
        </w:rPr>
        <w:t>自然灾害团体人身意外伤害保险保障保险费为每人每年人民币1.4元，自然灾害房屋保险保障保险费为每户每年人民币5.0元。保费由市级财政承担，由市应急管理局将保费的50%划入中标的保险公司。</w:t>
      </w:r>
    </w:p>
    <w:p>
      <w:pPr>
        <w:snapToGrid/>
        <w:spacing w:line="560" w:lineRule="exact"/>
        <w:ind w:firstLineChars="198"/>
        <w:rPr>
          <w:rFonts w:ascii="Times New Roman" w:eastAsia="仿宋_GB2312"/>
          <w:szCs w:val="32"/>
        </w:rPr>
      </w:pPr>
      <w:r>
        <w:rPr>
          <w:rFonts w:ascii="Times New Roman" w:eastAsia="仿宋_GB2312"/>
          <w:szCs w:val="32"/>
        </w:rPr>
        <w:t>根据上一年度出险率和赔付情况，保费实行浮动管理，浮率方案如下：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8"/>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8"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上年赔付率</w:t>
            </w:r>
          </w:p>
        </w:tc>
        <w:tc>
          <w:tcPr>
            <w:tcW w:w="2895"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次年费率浮动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8" w:type="dxa"/>
            <w:shd w:val="clear" w:color="auto" w:fill="auto"/>
          </w:tcPr>
          <w:p>
            <w:pPr>
              <w:snapToGrid/>
              <w:spacing w:line="560" w:lineRule="exact"/>
              <w:rPr>
                <w:rFonts w:ascii="Times New Roman" w:eastAsia="仿宋_GB2312"/>
                <w:szCs w:val="32"/>
              </w:rPr>
            </w:pPr>
            <w:r>
              <w:rPr>
                <w:rFonts w:ascii="Times New Roman" w:eastAsia="仿宋_GB2312"/>
                <w:szCs w:val="32"/>
              </w:rPr>
              <w:t>≤40%</w:t>
            </w:r>
          </w:p>
        </w:tc>
        <w:tc>
          <w:tcPr>
            <w:tcW w:w="2895"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下浮10%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8"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40%——60%（含）</w:t>
            </w:r>
          </w:p>
        </w:tc>
        <w:tc>
          <w:tcPr>
            <w:tcW w:w="2895"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下浮5%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8"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60%——90%（含）</w:t>
            </w:r>
          </w:p>
        </w:tc>
        <w:tc>
          <w:tcPr>
            <w:tcW w:w="2895"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维持原价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8"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≥90%</w:t>
            </w:r>
          </w:p>
        </w:tc>
        <w:tc>
          <w:tcPr>
            <w:tcW w:w="2895" w:type="dxa"/>
            <w:shd w:val="clear" w:color="auto" w:fill="auto"/>
          </w:tcPr>
          <w:p>
            <w:pPr>
              <w:snapToGrid/>
              <w:spacing w:line="560" w:lineRule="exact"/>
              <w:ind w:firstLineChars="198"/>
              <w:rPr>
                <w:rFonts w:ascii="Times New Roman" w:eastAsia="仿宋_GB2312"/>
                <w:szCs w:val="32"/>
              </w:rPr>
            </w:pPr>
            <w:r>
              <w:rPr>
                <w:rFonts w:ascii="Times New Roman" w:eastAsia="仿宋_GB2312"/>
                <w:szCs w:val="32"/>
              </w:rPr>
              <w:t>上浮5%</w:t>
            </w:r>
          </w:p>
        </w:tc>
      </w:tr>
    </w:tbl>
    <w:p>
      <w:pPr>
        <w:snapToGrid/>
        <w:spacing w:line="560" w:lineRule="exact"/>
        <w:ind w:firstLineChars="198"/>
        <w:rPr>
          <w:rFonts w:ascii="Times New Roman" w:eastAsia="仿宋_GB2312"/>
          <w:szCs w:val="32"/>
        </w:rPr>
      </w:pPr>
    </w:p>
    <w:p>
      <w:pPr>
        <w:snapToGrid/>
        <w:spacing w:line="560" w:lineRule="exact"/>
        <w:ind w:firstLineChars="198"/>
        <w:rPr>
          <w:rFonts w:ascii="Times New Roman" w:eastAsia="黑体"/>
          <w:szCs w:val="32"/>
        </w:rPr>
      </w:pPr>
      <w:r>
        <w:rPr>
          <w:rFonts w:ascii="Times New Roman" w:eastAsia="黑体"/>
          <w:szCs w:val="32"/>
        </w:rPr>
        <w:t>四、保险责任及赔付限额</w:t>
      </w:r>
    </w:p>
    <w:p>
      <w:pPr>
        <w:snapToGrid/>
        <w:spacing w:line="560" w:lineRule="exact"/>
        <w:ind w:firstLine="640" w:firstLineChars="200"/>
        <w:rPr>
          <w:rFonts w:ascii="Times New Roman" w:eastAsia="楷体_GB2312"/>
          <w:szCs w:val="32"/>
        </w:rPr>
      </w:pPr>
      <w:r>
        <w:rPr>
          <w:rFonts w:ascii="Times New Roman" w:eastAsia="楷体_GB2312"/>
          <w:szCs w:val="32"/>
        </w:rPr>
        <w:t>（一）自然灾害团体人身意外伤害保险保障。</w:t>
      </w:r>
    </w:p>
    <w:p>
      <w:pPr>
        <w:snapToGrid/>
        <w:spacing w:line="560" w:lineRule="exact"/>
        <w:ind w:firstLine="800" w:firstLineChars="249"/>
        <w:rPr>
          <w:rFonts w:ascii="Times New Roman" w:eastAsia="仿宋_GB2312"/>
          <w:b/>
          <w:szCs w:val="32"/>
        </w:rPr>
      </w:pPr>
      <w:r>
        <w:rPr>
          <w:rFonts w:ascii="Times New Roman" w:eastAsia="仿宋_GB2312"/>
          <w:b/>
          <w:szCs w:val="32"/>
        </w:rPr>
        <w:t>1.保险责任范围。</w:t>
      </w:r>
    </w:p>
    <w:p>
      <w:pPr>
        <w:snapToGrid/>
        <w:spacing w:line="560" w:lineRule="exact"/>
        <w:ind w:firstLine="640" w:firstLineChars="200"/>
        <w:rPr>
          <w:rFonts w:ascii="Times New Roman" w:eastAsia="仿宋_GB2312"/>
          <w:szCs w:val="32"/>
        </w:rPr>
      </w:pPr>
      <w:r>
        <w:rPr>
          <w:rFonts w:ascii="Times New Roman" w:eastAsia="仿宋_GB2312"/>
          <w:szCs w:val="32"/>
        </w:rPr>
        <w:t>（1）在本市行政区域内发生的自然灾害，包括地震、暴风、暴雨、龙卷风、暴雪、冰雹、台风（热带风暴）、雷击、洪水造成的人身意外伤害。</w:t>
      </w:r>
    </w:p>
    <w:p>
      <w:pPr>
        <w:snapToGrid/>
        <w:spacing w:line="560" w:lineRule="exact"/>
        <w:ind w:firstLine="640" w:firstLineChars="200"/>
        <w:rPr>
          <w:rFonts w:ascii="Times New Roman" w:eastAsia="仿宋_GB2312"/>
          <w:szCs w:val="32"/>
        </w:rPr>
      </w:pPr>
      <w:r>
        <w:rPr>
          <w:rFonts w:ascii="Times New Roman" w:eastAsia="仿宋_GB2312"/>
          <w:szCs w:val="32"/>
        </w:rPr>
        <w:t>（2）在上述自然灾害中因抢险救灾行为造成的人身意外伤害（不分户籍）。</w:t>
      </w:r>
    </w:p>
    <w:p>
      <w:pPr>
        <w:snapToGrid/>
        <w:spacing w:line="560" w:lineRule="exact"/>
        <w:ind w:firstLine="640" w:firstLineChars="200"/>
        <w:rPr>
          <w:rFonts w:ascii="Times New Roman" w:eastAsia="仿宋_GB2312"/>
          <w:szCs w:val="32"/>
        </w:rPr>
      </w:pPr>
      <w:r>
        <w:rPr>
          <w:rFonts w:ascii="Times New Roman" w:eastAsia="仿宋_GB2312"/>
          <w:szCs w:val="32"/>
        </w:rPr>
        <w:t>（3）飞行物及其他空中运行物体坠落造成的人身意外伤害。</w:t>
      </w:r>
    </w:p>
    <w:p>
      <w:pPr>
        <w:snapToGrid/>
        <w:spacing w:line="560" w:lineRule="exact"/>
        <w:ind w:firstLine="640" w:firstLineChars="200"/>
        <w:rPr>
          <w:rFonts w:ascii="Times New Roman" w:eastAsia="仿宋_GB2312"/>
          <w:szCs w:val="32"/>
        </w:rPr>
      </w:pPr>
      <w:r>
        <w:rPr>
          <w:rFonts w:ascii="Times New Roman" w:eastAsia="仿宋_GB2312"/>
          <w:szCs w:val="32"/>
        </w:rPr>
        <w:t>（4）因暴雪造成路面结冰引起的意外事故，造成的人身意外伤害。</w:t>
      </w:r>
    </w:p>
    <w:p>
      <w:pPr>
        <w:snapToGrid/>
        <w:spacing w:line="560" w:lineRule="exact"/>
        <w:ind w:firstLine="640" w:firstLineChars="200"/>
        <w:rPr>
          <w:rFonts w:ascii="Times New Roman" w:eastAsia="仿宋_GB2312"/>
          <w:szCs w:val="32"/>
        </w:rPr>
      </w:pPr>
      <w:r>
        <w:rPr>
          <w:rFonts w:ascii="Times New Roman" w:eastAsia="仿宋_GB2312"/>
          <w:szCs w:val="32"/>
        </w:rPr>
        <w:t>（5）被保险人居家期间因自然灾害引起的火灾、爆炸，造成的人身意外伤害。非自然灾害引起的火灾、爆炸需查明原因，如因看护、使用不当引起火灾、爆炸的属除外责任。</w:t>
      </w:r>
    </w:p>
    <w:p>
      <w:pPr>
        <w:snapToGrid/>
        <w:spacing w:line="560" w:lineRule="exact"/>
        <w:ind w:firstLine="640" w:firstLineChars="200"/>
        <w:rPr>
          <w:rFonts w:ascii="Times New Roman" w:eastAsia="仿宋_GB2312"/>
          <w:szCs w:val="32"/>
        </w:rPr>
      </w:pPr>
      <w:r>
        <w:rPr>
          <w:rFonts w:ascii="Times New Roman" w:eastAsia="仿宋_GB2312"/>
          <w:szCs w:val="32"/>
        </w:rPr>
        <w:t>（6）</w:t>
      </w:r>
      <w:r>
        <w:rPr>
          <w:rFonts w:ascii="Times New Roman" w:eastAsia="仿宋_GB2312"/>
          <w:color w:val="000000"/>
          <w:szCs w:val="32"/>
        </w:rPr>
        <w:t>被保险人居家期间因意外引起的煤气（液化气、天然气）中毒和触电事故，造成的人身意外伤害。</w:t>
      </w:r>
    </w:p>
    <w:p>
      <w:pPr>
        <w:snapToGrid/>
        <w:spacing w:line="560" w:lineRule="exact"/>
        <w:ind w:firstLine="640" w:firstLineChars="200"/>
        <w:rPr>
          <w:rFonts w:ascii="Times New Roman" w:eastAsia="仿宋_GB2312"/>
          <w:szCs w:val="32"/>
        </w:rPr>
      </w:pPr>
      <w:r>
        <w:rPr>
          <w:rFonts w:ascii="Times New Roman" w:eastAsia="仿宋_GB2312"/>
          <w:szCs w:val="32"/>
        </w:rPr>
        <w:t>（7）被保险人因意外在江、河、湖泊中溺水，造成的人身伤害。如因吸毒、醉酒等非正常精神状态而溺水死亡的属除外责任。</w:t>
      </w:r>
    </w:p>
    <w:p>
      <w:pPr>
        <w:snapToGrid/>
        <w:spacing w:line="560" w:lineRule="exact"/>
        <w:ind w:firstLine="640" w:firstLineChars="200"/>
        <w:rPr>
          <w:rFonts w:ascii="Times New Roman" w:eastAsia="仿宋_GB2312"/>
          <w:szCs w:val="32"/>
        </w:rPr>
      </w:pPr>
      <w:r>
        <w:rPr>
          <w:rFonts w:ascii="Times New Roman" w:eastAsia="仿宋_GB2312"/>
          <w:szCs w:val="32"/>
        </w:rPr>
        <w:t>（8）在本市行政区域内，因见义勇为过程中发生的人身意外伤害（不分户籍），以及本市户籍居民在苏州大市范围内因见义勇为过程中发生的人身意外伤害。</w:t>
      </w:r>
    </w:p>
    <w:p>
      <w:pPr>
        <w:snapToGrid/>
        <w:spacing w:line="560" w:lineRule="exact"/>
        <w:ind w:firstLine="643" w:firstLineChars="200"/>
        <w:rPr>
          <w:rFonts w:ascii="Times New Roman" w:eastAsia="仿宋_GB2312"/>
          <w:b/>
          <w:szCs w:val="32"/>
        </w:rPr>
      </w:pPr>
      <w:r>
        <w:rPr>
          <w:rFonts w:ascii="Times New Roman" w:eastAsia="仿宋_GB2312"/>
          <w:b/>
          <w:szCs w:val="32"/>
        </w:rPr>
        <w:t>2.赔偿限额。</w:t>
      </w:r>
    </w:p>
    <w:p>
      <w:pPr>
        <w:snapToGrid/>
        <w:spacing w:line="560" w:lineRule="exact"/>
        <w:ind w:firstLine="640" w:firstLineChars="200"/>
        <w:rPr>
          <w:rFonts w:ascii="Times New Roman" w:eastAsia="仿宋_GB2312"/>
          <w:szCs w:val="32"/>
        </w:rPr>
      </w:pPr>
      <w:r>
        <w:rPr>
          <w:rFonts w:ascii="Times New Roman" w:eastAsia="仿宋_GB2312"/>
          <w:szCs w:val="32"/>
        </w:rPr>
        <w:t>（1）死亡：赔偿限额为人民币10万元。除抢险救灾或见义勇为过程中造成死亡外，其余按出险时不同年龄段分别确定赔偿额。</w:t>
      </w:r>
    </w:p>
    <w:p>
      <w:pPr>
        <w:snapToGrid/>
        <w:spacing w:line="560" w:lineRule="exact"/>
        <w:ind w:firstLine="640" w:firstLineChars="200"/>
        <w:rPr>
          <w:rFonts w:ascii="Times New Roman" w:eastAsia="仿宋_GB2312"/>
          <w:szCs w:val="32"/>
        </w:rPr>
      </w:pPr>
      <w:r>
        <w:rPr>
          <w:rFonts w:ascii="Times New Roman" w:eastAsia="仿宋_GB2312"/>
          <w:szCs w:val="32"/>
        </w:rPr>
        <w:t>（2）伤残：&lt;</w:t>
      </w:r>
      <w:r>
        <w:rPr>
          <w:rFonts w:ascii="Times New Roman" w:eastAsia="仿宋_GB2312"/>
          <w:bCs/>
          <w:szCs w:val="32"/>
        </w:rPr>
        <w:t>人身保险伤残评定标准&gt;（行业标准）</w:t>
      </w:r>
      <w:r>
        <w:rPr>
          <w:rFonts w:ascii="Times New Roman" w:eastAsia="仿宋_GB2312"/>
          <w:szCs w:val="32"/>
        </w:rPr>
        <w:t>，最高赔付金额为人民币10万元；除抢险救灾或见义勇为过程中造成伤残外，其余按出险时不同年龄段分别确定赔偿额。</w:t>
      </w:r>
    </w:p>
    <w:p>
      <w:pPr>
        <w:snapToGrid/>
        <w:spacing w:line="560" w:lineRule="exact"/>
        <w:ind w:firstLine="643" w:firstLineChars="200"/>
        <w:rPr>
          <w:rFonts w:ascii="Times New Roman" w:eastAsia="仿宋_GB2312"/>
          <w:b/>
          <w:szCs w:val="32"/>
        </w:rPr>
      </w:pPr>
      <w:r>
        <w:rPr>
          <w:rFonts w:ascii="Times New Roman" w:eastAsia="仿宋_GB2312"/>
          <w:b/>
          <w:szCs w:val="32"/>
        </w:rPr>
        <w:t>3.特别说明。</w:t>
      </w:r>
    </w:p>
    <w:p>
      <w:pPr>
        <w:snapToGrid/>
        <w:spacing w:line="560" w:lineRule="exact"/>
        <w:ind w:firstLine="640" w:firstLineChars="200"/>
        <w:rPr>
          <w:rFonts w:ascii="Times New Roman" w:eastAsia="仿宋_GB2312"/>
          <w:szCs w:val="32"/>
        </w:rPr>
      </w:pPr>
      <w:r>
        <w:rPr>
          <w:rFonts w:ascii="Times New Roman" w:eastAsia="仿宋_GB2312"/>
          <w:szCs w:val="32"/>
        </w:rPr>
        <w:t>（1）自然灾害由市气象局认定。</w:t>
      </w:r>
    </w:p>
    <w:p>
      <w:pPr>
        <w:snapToGrid/>
        <w:spacing w:line="560" w:lineRule="exact"/>
        <w:ind w:firstLine="640" w:firstLineChars="200"/>
        <w:rPr>
          <w:rFonts w:ascii="Times New Roman" w:eastAsia="仿宋_GB2312"/>
          <w:szCs w:val="32"/>
        </w:rPr>
      </w:pPr>
      <w:r>
        <w:rPr>
          <w:rFonts w:ascii="Times New Roman" w:eastAsia="仿宋_GB2312"/>
          <w:szCs w:val="32"/>
        </w:rPr>
        <w:t>（2）地震以国家认定并发布。</w:t>
      </w:r>
    </w:p>
    <w:p>
      <w:pPr>
        <w:snapToGrid/>
        <w:spacing w:line="560" w:lineRule="exact"/>
        <w:ind w:firstLine="640" w:firstLineChars="200"/>
        <w:rPr>
          <w:rFonts w:ascii="Times New Roman" w:eastAsia="仿宋_GB2312"/>
          <w:szCs w:val="32"/>
        </w:rPr>
      </w:pPr>
      <w:r>
        <w:rPr>
          <w:rFonts w:ascii="Times New Roman" w:eastAsia="仿宋_GB2312"/>
          <w:szCs w:val="32"/>
        </w:rPr>
        <w:t>（3）涉及伤残的需提供相关部门的伤残鉴定证明。</w:t>
      </w:r>
    </w:p>
    <w:p>
      <w:pPr>
        <w:snapToGrid/>
        <w:spacing w:line="560" w:lineRule="exact"/>
        <w:ind w:firstLine="640" w:firstLineChars="200"/>
        <w:rPr>
          <w:rFonts w:ascii="Times New Roman" w:eastAsia="仿宋_GB2312"/>
          <w:szCs w:val="32"/>
        </w:rPr>
      </w:pPr>
      <w:r>
        <w:rPr>
          <w:rFonts w:ascii="Times New Roman" w:eastAsia="仿宋_GB2312"/>
          <w:szCs w:val="32"/>
        </w:rPr>
        <w:t>（4）火灾、爆炸事故经市公安局、市消防救援大队认定。</w:t>
      </w:r>
    </w:p>
    <w:p>
      <w:pPr>
        <w:snapToGrid/>
        <w:spacing w:line="560" w:lineRule="exact"/>
        <w:ind w:firstLine="640" w:firstLineChars="200"/>
        <w:rPr>
          <w:rFonts w:ascii="Times New Roman" w:eastAsia="仿宋_GB2312"/>
          <w:szCs w:val="32"/>
        </w:rPr>
      </w:pPr>
      <w:r>
        <w:rPr>
          <w:rFonts w:ascii="Times New Roman" w:eastAsia="仿宋_GB2312"/>
          <w:szCs w:val="32"/>
        </w:rPr>
        <w:t>（5）其他原因造成的由市应急管理局认定。</w:t>
      </w:r>
    </w:p>
    <w:p>
      <w:pPr>
        <w:snapToGrid/>
        <w:spacing w:line="560" w:lineRule="exact"/>
        <w:ind w:firstLine="640" w:firstLineChars="200"/>
        <w:rPr>
          <w:rFonts w:ascii="Times New Roman" w:eastAsia="仿宋_GB2312"/>
          <w:szCs w:val="32"/>
        </w:rPr>
      </w:pPr>
      <w:r>
        <w:rPr>
          <w:rFonts w:ascii="Times New Roman" w:eastAsia="仿宋_GB2312"/>
          <w:szCs w:val="32"/>
        </w:rPr>
        <w:t>（6）赔款由市级财政承担50%，保险公司承担50%。</w:t>
      </w:r>
    </w:p>
    <w:p>
      <w:pPr>
        <w:snapToGrid/>
        <w:spacing w:line="560" w:lineRule="exact"/>
        <w:ind w:firstLine="473" w:firstLineChars="148"/>
        <w:rPr>
          <w:rFonts w:ascii="Times New Roman" w:eastAsia="楷体_GB2312"/>
          <w:szCs w:val="32"/>
        </w:rPr>
      </w:pPr>
      <w:r>
        <w:rPr>
          <w:rFonts w:ascii="Times New Roman" w:eastAsia="楷体_GB2312"/>
          <w:szCs w:val="32"/>
        </w:rPr>
        <w:t>（二）自然灾害房屋保险保障。</w:t>
      </w:r>
    </w:p>
    <w:p>
      <w:pPr>
        <w:snapToGrid/>
        <w:spacing w:line="560" w:lineRule="exact"/>
        <w:ind w:firstLine="643" w:firstLineChars="200"/>
        <w:rPr>
          <w:rFonts w:ascii="Times New Roman" w:eastAsia="仿宋_GB2312"/>
          <w:b/>
          <w:szCs w:val="32"/>
        </w:rPr>
      </w:pPr>
      <w:r>
        <w:rPr>
          <w:rFonts w:ascii="Times New Roman" w:eastAsia="仿宋_GB2312"/>
          <w:b/>
          <w:szCs w:val="32"/>
        </w:rPr>
        <w:t>1.保险责任范围。</w:t>
      </w:r>
    </w:p>
    <w:p>
      <w:pPr>
        <w:snapToGrid/>
        <w:spacing w:line="560" w:lineRule="exact"/>
        <w:ind w:firstLine="640" w:firstLineChars="200"/>
        <w:rPr>
          <w:rFonts w:ascii="Times New Roman" w:eastAsia="仿宋_GB2312"/>
          <w:szCs w:val="32"/>
        </w:rPr>
      </w:pPr>
      <w:r>
        <w:rPr>
          <w:rFonts w:ascii="Times New Roman" w:eastAsia="仿宋_GB2312"/>
          <w:szCs w:val="32"/>
        </w:rPr>
        <w:t>（1）在本市行政区域内发生的雷击、台风、热带风暴、暴雪、暴风、暴雨所造成的损失。</w:t>
      </w:r>
    </w:p>
    <w:p>
      <w:pPr>
        <w:snapToGrid/>
        <w:spacing w:line="560" w:lineRule="exact"/>
        <w:ind w:firstLine="640" w:firstLineChars="200"/>
        <w:rPr>
          <w:rFonts w:ascii="Times New Roman" w:eastAsia="仿宋_GB2312"/>
          <w:szCs w:val="32"/>
        </w:rPr>
      </w:pPr>
      <w:r>
        <w:rPr>
          <w:rFonts w:ascii="Times New Roman" w:eastAsia="仿宋_GB2312"/>
          <w:szCs w:val="32"/>
        </w:rPr>
        <w:t>（2）发生火灾、爆炸造成的损失。</w:t>
      </w:r>
    </w:p>
    <w:p>
      <w:pPr>
        <w:snapToGrid/>
        <w:spacing w:line="560" w:lineRule="exact"/>
        <w:ind w:firstLine="640" w:firstLineChars="200"/>
        <w:rPr>
          <w:rFonts w:ascii="Times New Roman" w:eastAsia="仿宋_GB2312"/>
          <w:szCs w:val="32"/>
        </w:rPr>
      </w:pPr>
      <w:r>
        <w:rPr>
          <w:rFonts w:ascii="Times New Roman" w:eastAsia="仿宋_GB2312"/>
          <w:szCs w:val="32"/>
        </w:rPr>
        <w:t>（3）因飞行物体及其他空中运行物体坠落造成的损失。</w:t>
      </w:r>
    </w:p>
    <w:p>
      <w:pPr>
        <w:snapToGrid/>
        <w:spacing w:line="560" w:lineRule="exact"/>
        <w:ind w:firstLine="643" w:firstLineChars="200"/>
        <w:rPr>
          <w:rFonts w:ascii="Times New Roman" w:eastAsia="仿宋_GB2312"/>
          <w:b/>
          <w:szCs w:val="32"/>
        </w:rPr>
      </w:pPr>
      <w:r>
        <w:rPr>
          <w:rFonts w:ascii="Times New Roman" w:eastAsia="仿宋_GB2312"/>
          <w:b/>
          <w:szCs w:val="32"/>
        </w:rPr>
        <w:t>2.房屋保险赔偿限额。</w:t>
      </w:r>
    </w:p>
    <w:p>
      <w:pPr>
        <w:snapToGrid/>
        <w:spacing w:line="560" w:lineRule="exact"/>
        <w:ind w:firstLine="640" w:firstLineChars="200"/>
        <w:rPr>
          <w:rFonts w:ascii="Times New Roman" w:eastAsia="仿宋_GB2312"/>
          <w:szCs w:val="32"/>
        </w:rPr>
      </w:pPr>
      <w:r>
        <w:rPr>
          <w:rFonts w:ascii="Times New Roman" w:eastAsia="仿宋_GB2312"/>
          <w:szCs w:val="32"/>
        </w:rPr>
        <w:t>（1）因自然灾害和飞行物体及其他空中运行物体坠落造成的损失每户每年房屋最高赔偿人民币5万元。</w:t>
      </w:r>
    </w:p>
    <w:p>
      <w:pPr>
        <w:snapToGrid/>
        <w:spacing w:line="560" w:lineRule="exact"/>
        <w:ind w:firstLine="640" w:firstLineChars="200"/>
        <w:rPr>
          <w:rFonts w:ascii="Times New Roman" w:eastAsia="仿宋_GB2312"/>
          <w:szCs w:val="32"/>
        </w:rPr>
      </w:pPr>
      <w:r>
        <w:rPr>
          <w:rFonts w:ascii="Times New Roman" w:eastAsia="仿宋_GB2312"/>
          <w:szCs w:val="32"/>
        </w:rPr>
        <w:t>（2）因火灾、爆炸造成的损失每户每年最高赔付人民币5万元，其中房屋最高赔付5万元，生活基本设施最高赔付2万元。非自然灾害引起的火灾、爆炸需查明原因，如因看护、使用不当引起火灾、爆炸的属除外责任。</w:t>
      </w:r>
    </w:p>
    <w:p>
      <w:pPr>
        <w:snapToGrid/>
        <w:spacing w:line="560" w:lineRule="exact"/>
        <w:ind w:firstLine="640" w:firstLineChars="200"/>
        <w:rPr>
          <w:rFonts w:ascii="Times New Roman" w:eastAsia="仿宋_GB2312"/>
          <w:szCs w:val="32"/>
          <w:highlight w:val="cyan"/>
        </w:rPr>
      </w:pPr>
      <w:r>
        <w:rPr>
          <w:rFonts w:ascii="Times New Roman" w:eastAsia="仿宋_GB2312"/>
          <w:szCs w:val="32"/>
        </w:rPr>
        <w:t>（3）雷击引起的火灾损失按照每户每年最高赔付人民币5万元，其中生活基本设施最高赔付2万元。</w:t>
      </w:r>
    </w:p>
    <w:p>
      <w:pPr>
        <w:snapToGrid/>
        <w:spacing w:line="560" w:lineRule="exact"/>
        <w:ind w:firstLine="640" w:firstLineChars="200"/>
        <w:rPr>
          <w:rFonts w:ascii="Times New Roman" w:eastAsia="仿宋_GB2312"/>
          <w:szCs w:val="32"/>
        </w:rPr>
      </w:pPr>
      <w:r>
        <w:rPr>
          <w:rFonts w:ascii="Times New Roman" w:eastAsia="仿宋_GB2312"/>
          <w:szCs w:val="32"/>
        </w:rPr>
        <w:t>（4）房屋损失核损（详见附件二）。</w:t>
      </w:r>
    </w:p>
    <w:p>
      <w:pPr>
        <w:snapToGrid/>
        <w:spacing w:line="560" w:lineRule="exact"/>
        <w:ind w:firstLine="640" w:firstLineChars="200"/>
        <w:rPr>
          <w:rFonts w:ascii="Times New Roman" w:eastAsia="仿宋_GB2312"/>
          <w:szCs w:val="32"/>
        </w:rPr>
      </w:pPr>
      <w:r>
        <w:rPr>
          <w:rFonts w:ascii="Times New Roman" w:eastAsia="仿宋_GB2312"/>
          <w:szCs w:val="32"/>
        </w:rPr>
        <w:t>（5）房屋定义：本保险保障房屋仅指房屋主体结构及厨房，其余如室内装修、小屋、杂物间、牲畜棚、库房、围墙、违章搭建等类似建筑均不属于本保险保障范围。</w:t>
      </w:r>
    </w:p>
    <w:p>
      <w:pPr>
        <w:snapToGrid/>
        <w:spacing w:line="560" w:lineRule="exact"/>
        <w:ind w:firstLine="643" w:firstLineChars="200"/>
        <w:rPr>
          <w:rFonts w:ascii="Times New Roman" w:eastAsia="仿宋_GB2312"/>
          <w:b/>
          <w:szCs w:val="32"/>
        </w:rPr>
      </w:pPr>
      <w:r>
        <w:rPr>
          <w:rFonts w:ascii="Times New Roman" w:eastAsia="仿宋_GB2312"/>
          <w:b/>
          <w:szCs w:val="32"/>
        </w:rPr>
        <w:t>3.特别说明。</w:t>
      </w:r>
    </w:p>
    <w:p>
      <w:pPr>
        <w:snapToGrid/>
        <w:spacing w:line="560" w:lineRule="exact"/>
        <w:ind w:firstLine="640" w:firstLineChars="200"/>
        <w:rPr>
          <w:rFonts w:ascii="Times New Roman" w:eastAsia="仿宋_GB2312"/>
          <w:szCs w:val="32"/>
        </w:rPr>
      </w:pPr>
      <w:r>
        <w:rPr>
          <w:rFonts w:ascii="Times New Roman" w:eastAsia="仿宋_GB2312"/>
          <w:szCs w:val="32"/>
        </w:rPr>
        <w:t>（1）重大自然灾害由市气象局认定。</w:t>
      </w:r>
    </w:p>
    <w:p>
      <w:pPr>
        <w:snapToGrid/>
        <w:spacing w:line="560" w:lineRule="exact"/>
        <w:ind w:firstLine="640" w:firstLineChars="200"/>
        <w:rPr>
          <w:rFonts w:ascii="Times New Roman" w:eastAsia="仿宋_GB2312"/>
          <w:szCs w:val="32"/>
        </w:rPr>
      </w:pPr>
      <w:r>
        <w:rPr>
          <w:rFonts w:ascii="Times New Roman" w:eastAsia="仿宋_GB2312"/>
          <w:szCs w:val="32"/>
        </w:rPr>
        <w:t>（2）火灾、爆炸事故必须经市公安局、市消防救援大队认定。</w:t>
      </w:r>
    </w:p>
    <w:p>
      <w:pPr>
        <w:snapToGrid/>
        <w:spacing w:line="560" w:lineRule="exact"/>
        <w:ind w:firstLine="640" w:firstLineChars="200"/>
        <w:rPr>
          <w:rFonts w:ascii="Times New Roman" w:eastAsia="仿宋_GB2312"/>
          <w:szCs w:val="32"/>
        </w:rPr>
      </w:pPr>
      <w:r>
        <w:rPr>
          <w:rFonts w:ascii="Times New Roman" w:eastAsia="仿宋_GB2312"/>
          <w:szCs w:val="32"/>
        </w:rPr>
        <w:t>（3）其他原因造成的由市应急管理局认定。</w:t>
      </w:r>
    </w:p>
    <w:p>
      <w:pPr>
        <w:snapToGrid/>
        <w:spacing w:line="560" w:lineRule="exact"/>
        <w:ind w:firstLine="640" w:firstLineChars="200"/>
        <w:rPr>
          <w:rFonts w:ascii="Times New Roman" w:eastAsia="仿宋_GB2312"/>
          <w:szCs w:val="32"/>
        </w:rPr>
      </w:pPr>
      <w:r>
        <w:rPr>
          <w:rFonts w:ascii="Times New Roman" w:eastAsia="仿宋_GB2312"/>
          <w:szCs w:val="32"/>
        </w:rPr>
        <w:t>（4）赔款由市级财政承担50%，保险公司承担50%。</w:t>
      </w:r>
    </w:p>
    <w:p>
      <w:pPr>
        <w:snapToGrid/>
        <w:spacing w:line="560" w:lineRule="exact"/>
        <w:ind w:firstLine="640" w:firstLineChars="200"/>
        <w:rPr>
          <w:rFonts w:ascii="Times New Roman" w:eastAsia="楷体_GB2312"/>
          <w:szCs w:val="32"/>
        </w:rPr>
      </w:pPr>
      <w:r>
        <w:rPr>
          <w:rFonts w:ascii="Times New Roman" w:eastAsia="楷体_GB2312"/>
          <w:szCs w:val="32"/>
        </w:rPr>
        <w:t>（三）其他约定。</w:t>
      </w:r>
    </w:p>
    <w:p>
      <w:pPr>
        <w:snapToGrid/>
        <w:spacing w:line="560" w:lineRule="exact"/>
        <w:ind w:firstLine="640" w:firstLineChars="200"/>
        <w:rPr>
          <w:rFonts w:ascii="Times New Roman" w:eastAsia="仿宋_GB2312"/>
          <w:szCs w:val="32"/>
        </w:rPr>
      </w:pPr>
      <w:r>
        <w:rPr>
          <w:rFonts w:ascii="Times New Roman" w:eastAsia="仿宋_GB2312"/>
          <w:szCs w:val="32"/>
        </w:rPr>
        <w:t>1.居民因保险事故造成的人身伤亡，除另有规定外，按出险时不同年龄段确定赔偿限额（详见附件三）。发生死亡或伤残的应及时向110报警，并在48小时之内向保险公司报案。死亡案件理赔时需提供案发地公安派出所盖章的出警证明和经户籍所在地公安派出所盖章的医学死亡证明，否则不予赔付。</w:t>
      </w:r>
    </w:p>
    <w:p>
      <w:pPr>
        <w:pStyle w:val="8"/>
        <w:spacing w:line="560" w:lineRule="exact"/>
        <w:ind w:firstLine="630"/>
        <w:rPr>
          <w:rFonts w:eastAsia="仿宋_GB2312"/>
          <w:sz w:val="32"/>
          <w:szCs w:val="32"/>
        </w:rPr>
      </w:pPr>
      <w:r>
        <w:rPr>
          <w:rFonts w:eastAsia="仿宋_GB2312"/>
          <w:sz w:val="32"/>
          <w:szCs w:val="32"/>
        </w:rPr>
        <w:t>2.因抢险救灾或见义勇为过程中发生人身意外伤害的，其死亡、伤残赔偿限额在原标准基础上提高100%。</w:t>
      </w:r>
    </w:p>
    <w:p>
      <w:pPr>
        <w:snapToGrid/>
        <w:spacing w:line="560" w:lineRule="exact"/>
        <w:ind w:firstLine="640" w:firstLineChars="200"/>
        <w:rPr>
          <w:rFonts w:ascii="Times New Roman" w:eastAsia="仿宋_GB2312"/>
          <w:szCs w:val="32"/>
        </w:rPr>
      </w:pPr>
      <w:r>
        <w:rPr>
          <w:rFonts w:ascii="Times New Roman" w:eastAsia="仿宋_GB2312"/>
          <w:szCs w:val="32"/>
        </w:rPr>
        <w:t>3.对楼房家庭，其房屋屋面、</w:t>
      </w:r>
      <w:r>
        <w:rPr>
          <w:rFonts w:ascii="Times New Roman" w:eastAsia="仿宋_GB2312"/>
          <w:bCs/>
          <w:szCs w:val="32"/>
        </w:rPr>
        <w:t>屋脊、屋檐因保险事故</w:t>
      </w:r>
      <w:r>
        <w:rPr>
          <w:rFonts w:ascii="Times New Roman" w:eastAsia="仿宋_GB2312"/>
          <w:szCs w:val="32"/>
        </w:rPr>
        <w:t>遭受损坏，在维修过程中必须使用脚手架的，按受损面积或长度适当给予脚手架费用补贴，标准为：</w:t>
      </w:r>
    </w:p>
    <w:p>
      <w:pPr>
        <w:snapToGrid/>
        <w:spacing w:line="560" w:lineRule="exact"/>
        <w:ind w:firstLine="640" w:firstLineChars="200"/>
        <w:rPr>
          <w:rFonts w:ascii="Times New Roman" w:eastAsia="仿宋_GB2312"/>
          <w:szCs w:val="32"/>
        </w:rPr>
      </w:pPr>
      <w:r>
        <w:rPr>
          <w:rFonts w:ascii="Times New Roman" w:eastAsia="仿宋_GB2312"/>
          <w:szCs w:val="32"/>
        </w:rPr>
        <w:t>（1）损坏面积在5平方米或长度在5米（含）以下的，每户补贴400元；</w:t>
      </w:r>
    </w:p>
    <w:p>
      <w:pPr>
        <w:snapToGrid/>
        <w:spacing w:line="560" w:lineRule="exact"/>
        <w:ind w:firstLine="640" w:firstLineChars="200"/>
        <w:rPr>
          <w:rFonts w:ascii="Times New Roman" w:eastAsia="仿宋_GB2312"/>
          <w:szCs w:val="32"/>
        </w:rPr>
      </w:pPr>
      <w:r>
        <w:rPr>
          <w:rFonts w:ascii="Times New Roman" w:eastAsia="仿宋_GB2312"/>
          <w:szCs w:val="32"/>
        </w:rPr>
        <w:t>（2）损坏面积在5平方米或长度在5米（不含）以上至20平方米或20米（不含）的，每户补贴600元；</w:t>
      </w:r>
    </w:p>
    <w:p>
      <w:pPr>
        <w:snapToGrid/>
        <w:spacing w:line="560" w:lineRule="exact"/>
        <w:ind w:firstLine="640" w:firstLineChars="200"/>
        <w:rPr>
          <w:rFonts w:ascii="Times New Roman" w:eastAsia="仿宋_GB2312"/>
          <w:szCs w:val="32"/>
        </w:rPr>
      </w:pPr>
      <w:r>
        <w:rPr>
          <w:rFonts w:ascii="Times New Roman" w:eastAsia="仿宋_GB2312"/>
          <w:szCs w:val="32"/>
        </w:rPr>
        <w:t>（3）损坏面积在20平方米或长度在20米（含）以上的，每户补贴800元。</w:t>
      </w:r>
    </w:p>
    <w:p>
      <w:pPr>
        <w:snapToGrid/>
        <w:spacing w:line="560" w:lineRule="exact"/>
        <w:ind w:firstLine="640" w:firstLineChars="200"/>
        <w:rPr>
          <w:rFonts w:ascii="Times New Roman" w:eastAsia="仿宋_GB2312"/>
          <w:szCs w:val="32"/>
        </w:rPr>
      </w:pPr>
      <w:r>
        <w:rPr>
          <w:rFonts w:ascii="Times New Roman" w:eastAsia="仿宋_GB2312"/>
          <w:szCs w:val="32"/>
        </w:rPr>
        <w:t>4.公寓房赔款受益人，原则上为该楼房的维修基金管理单位。对于无法确认管理单位的，由出险所在楼道居民集体推荐受益人，以楼道全体居民签字确认为准。</w:t>
      </w:r>
    </w:p>
    <w:p>
      <w:pPr>
        <w:snapToGrid/>
        <w:spacing w:line="560" w:lineRule="exact"/>
        <w:ind w:firstLine="640" w:firstLineChars="200"/>
        <w:rPr>
          <w:rFonts w:ascii="Times New Roman" w:eastAsia="仿宋_GB2312"/>
          <w:szCs w:val="32"/>
        </w:rPr>
      </w:pPr>
      <w:r>
        <w:rPr>
          <w:rFonts w:ascii="Times New Roman" w:eastAsia="仿宋_GB2312"/>
          <w:szCs w:val="32"/>
        </w:rPr>
        <w:t>5.对城乡低保、低保边缘困难家庭，房屋财产赔付标准在原标准的基础上提高50%，上述困难家庭以市民政局确认为准。</w:t>
      </w:r>
    </w:p>
    <w:p>
      <w:pPr>
        <w:snapToGrid/>
        <w:spacing w:line="560" w:lineRule="exact"/>
        <w:ind w:firstLine="640" w:firstLineChars="200"/>
        <w:rPr>
          <w:rFonts w:ascii="Times New Roman" w:eastAsia="仿宋_GB2312"/>
          <w:szCs w:val="32"/>
        </w:rPr>
      </w:pPr>
      <w:r>
        <w:rPr>
          <w:rFonts w:ascii="Times New Roman" w:eastAsia="仿宋_GB2312"/>
          <w:szCs w:val="32"/>
        </w:rPr>
        <w:t>6.“五保户”房屋财产根据适度补偿原则，由于受益人为各村（居）民委员会，故赔付标准适当下浮，按原标准的60%执行，赔付款直接付给所在村（居）民委员会。</w:t>
      </w:r>
    </w:p>
    <w:p>
      <w:pPr>
        <w:snapToGrid/>
        <w:spacing w:line="560" w:lineRule="exact"/>
        <w:ind w:firstLine="640" w:firstLineChars="200"/>
        <w:rPr>
          <w:rFonts w:ascii="Times New Roman" w:eastAsia="仿宋_GB2312"/>
          <w:szCs w:val="32"/>
        </w:rPr>
      </w:pPr>
      <w:r>
        <w:rPr>
          <w:rFonts w:ascii="Times New Roman" w:eastAsia="仿宋_GB2312"/>
          <w:szCs w:val="32"/>
        </w:rPr>
        <w:t>7.因雷击造成电器设备损坏的，不在赔偿范围内；但因火灾、爆炸造成电器设备损坏的，则可以进行赔付。</w:t>
      </w:r>
    </w:p>
    <w:p>
      <w:pPr>
        <w:snapToGrid/>
        <w:spacing w:line="560" w:lineRule="exact"/>
        <w:ind w:firstLine="640" w:firstLineChars="200"/>
        <w:rPr>
          <w:rFonts w:ascii="Times New Roman" w:eastAsia="仿宋_GB2312"/>
          <w:szCs w:val="32"/>
        </w:rPr>
      </w:pPr>
      <w:r>
        <w:rPr>
          <w:rFonts w:ascii="Times New Roman" w:eastAsia="仿宋_GB2312"/>
          <w:szCs w:val="32"/>
        </w:rPr>
        <w:t>8.违章建筑不在赔偿范围内。</w:t>
      </w:r>
    </w:p>
    <w:p>
      <w:pPr>
        <w:snapToGrid/>
        <w:spacing w:line="560" w:lineRule="exact"/>
        <w:ind w:firstLine="640" w:firstLineChars="200"/>
        <w:rPr>
          <w:rFonts w:ascii="Times New Roman" w:eastAsia="仿宋_GB2312"/>
          <w:szCs w:val="32"/>
        </w:rPr>
      </w:pPr>
      <w:r>
        <w:rPr>
          <w:rFonts w:ascii="Times New Roman" w:eastAsia="仿宋_GB2312"/>
          <w:szCs w:val="32"/>
        </w:rPr>
        <w:t>9.公有住房租赁户（无房户）发生保险事故，其生活基本设施可以纳入赔偿范围，其租赁的房屋则不在赔偿范围内。</w:t>
      </w:r>
    </w:p>
    <w:p>
      <w:pPr>
        <w:snapToGrid/>
        <w:spacing w:line="560" w:lineRule="exact"/>
        <w:ind w:firstLine="640" w:firstLineChars="200"/>
        <w:rPr>
          <w:rFonts w:ascii="Times New Roman" w:eastAsia="仿宋_GB2312"/>
          <w:szCs w:val="32"/>
        </w:rPr>
      </w:pPr>
      <w:r>
        <w:rPr>
          <w:rFonts w:ascii="Times New Roman" w:eastAsia="仿宋_GB2312"/>
          <w:szCs w:val="32"/>
        </w:rPr>
        <w:t>10.对于因拆迁新建已入住而暂时无证的房产，如果出险，可以进行赔偿，但需由村（居）民委员会出证确认，索赔通知书上需村（居）民委员会确认盖章。</w:t>
      </w:r>
    </w:p>
    <w:p>
      <w:pPr>
        <w:snapToGrid/>
        <w:spacing w:line="560" w:lineRule="exact"/>
        <w:ind w:firstLine="640" w:firstLineChars="200"/>
        <w:rPr>
          <w:rFonts w:ascii="Times New Roman" w:eastAsia="仿宋_GB2312"/>
          <w:szCs w:val="32"/>
        </w:rPr>
      </w:pPr>
      <w:r>
        <w:rPr>
          <w:rFonts w:ascii="Times New Roman" w:eastAsia="仿宋_GB2312"/>
          <w:szCs w:val="32"/>
        </w:rPr>
        <w:t>11.为防恶意骗赔，对重复投保进行有效规避。原则上对自然灾害的理赔金额在5000元以内的赔案可直接赔付，不要求出险人告知是否在其他保险公司投保情况；对5000元以上的赔案，原则上由出险人提供在其他保险公司的投保情况。</w:t>
      </w:r>
    </w:p>
    <w:p>
      <w:pPr>
        <w:snapToGrid/>
        <w:spacing w:line="560" w:lineRule="exact"/>
        <w:ind w:firstLine="640" w:firstLineChars="200"/>
        <w:rPr>
          <w:rFonts w:ascii="Times New Roman" w:eastAsia="仿宋_GB2312"/>
          <w:szCs w:val="32"/>
        </w:rPr>
      </w:pPr>
      <w:r>
        <w:rPr>
          <w:rFonts w:ascii="Times New Roman" w:eastAsia="仿宋_GB2312"/>
          <w:szCs w:val="32"/>
        </w:rPr>
        <w:t>12.发生保险事故，如被保险人超过报案时效，导致保险公司无法进行现场查勘、不能确定保险责任的，可不予赔付。</w:t>
      </w:r>
    </w:p>
    <w:p>
      <w:pPr>
        <w:snapToGrid/>
        <w:spacing w:line="560" w:lineRule="exact"/>
        <w:ind w:firstLine="480" w:firstLineChars="150"/>
        <w:rPr>
          <w:rFonts w:ascii="Times New Roman" w:eastAsia="楷体_GB2312"/>
          <w:szCs w:val="32"/>
        </w:rPr>
      </w:pPr>
      <w:r>
        <w:rPr>
          <w:rFonts w:ascii="Times New Roman" w:eastAsia="黑体"/>
          <w:szCs w:val="32"/>
        </w:rPr>
        <w:t>五、理赔流程：</w:t>
      </w:r>
      <w:r>
        <w:rPr>
          <w:rFonts w:ascii="Times New Roman" w:eastAsia="仿宋_GB2312"/>
          <w:szCs w:val="32"/>
        </w:rPr>
        <w:t>（详见附件四）</w:t>
      </w:r>
    </w:p>
    <w:p>
      <w:pPr>
        <w:snapToGrid/>
        <w:spacing w:line="560" w:lineRule="exact"/>
        <w:ind w:firstLine="480" w:firstLineChars="150"/>
        <w:rPr>
          <w:rFonts w:ascii="Times New Roman" w:eastAsia="楷体_GB2312"/>
          <w:szCs w:val="32"/>
        </w:rPr>
      </w:pPr>
      <w:r>
        <w:rPr>
          <w:rFonts w:ascii="Times New Roman" w:eastAsia="楷体_GB2312"/>
          <w:szCs w:val="32"/>
        </w:rPr>
        <w:t>（一）报案时效。</w:t>
      </w:r>
    </w:p>
    <w:p>
      <w:pPr>
        <w:snapToGrid/>
        <w:spacing w:line="560" w:lineRule="exact"/>
        <w:ind w:firstLine="640" w:firstLineChars="200"/>
        <w:rPr>
          <w:rFonts w:ascii="Times New Roman" w:eastAsia="仿宋_GB2312"/>
          <w:color w:val="FF0000"/>
          <w:szCs w:val="32"/>
        </w:rPr>
      </w:pPr>
      <w:r>
        <w:rPr>
          <w:rFonts w:ascii="Times New Roman" w:eastAsia="仿宋_GB2312"/>
          <w:szCs w:val="32"/>
        </w:rPr>
        <w:t>灾情发生后，受灾户应在48小时内向保险公司报案，由保险公司派查勘员进行查勘定损。</w:t>
      </w:r>
      <w:r>
        <w:rPr>
          <w:rFonts w:ascii="Times New Roman" w:eastAsia="仿宋_GB2312"/>
          <w:color w:val="FF0000"/>
          <w:szCs w:val="32"/>
        </w:rPr>
        <w:t xml:space="preserve"> </w:t>
      </w:r>
    </w:p>
    <w:p>
      <w:pPr>
        <w:snapToGrid/>
        <w:spacing w:line="560" w:lineRule="exact"/>
        <w:ind w:firstLine="480" w:firstLineChars="150"/>
        <w:rPr>
          <w:rFonts w:ascii="Times New Roman" w:eastAsia="楷体_GB2312"/>
          <w:szCs w:val="32"/>
        </w:rPr>
      </w:pPr>
      <w:r>
        <w:rPr>
          <w:rFonts w:ascii="Times New Roman" w:eastAsia="楷体_GB2312"/>
          <w:szCs w:val="32"/>
        </w:rPr>
        <w:t>（二）理赔时限。</w:t>
      </w:r>
    </w:p>
    <w:p>
      <w:pPr>
        <w:snapToGrid/>
        <w:spacing w:line="560" w:lineRule="exact"/>
        <w:ind w:firstLine="640" w:firstLineChars="200"/>
        <w:rPr>
          <w:rFonts w:ascii="Times New Roman" w:eastAsia="仿宋_GB2312"/>
          <w:szCs w:val="32"/>
        </w:rPr>
      </w:pPr>
      <w:r>
        <w:rPr>
          <w:rFonts w:ascii="Times New Roman" w:eastAsia="仿宋_GB2312"/>
          <w:szCs w:val="32"/>
        </w:rPr>
        <w:t>理赔材料齐全并经保险公司确认后，在5个工作日结案赔付。突发大面积灾情可适当延长理赔时限。</w:t>
      </w:r>
    </w:p>
    <w:p>
      <w:pPr>
        <w:snapToGrid/>
        <w:spacing w:line="560" w:lineRule="exact"/>
        <w:ind w:firstLine="480" w:firstLineChars="150"/>
        <w:rPr>
          <w:rFonts w:ascii="Times New Roman" w:eastAsia="楷体_GB2312"/>
          <w:szCs w:val="32"/>
        </w:rPr>
      </w:pPr>
      <w:r>
        <w:rPr>
          <w:rFonts w:ascii="Times New Roman" w:eastAsia="楷体_GB2312"/>
          <w:szCs w:val="32"/>
        </w:rPr>
        <w:t>（三）特别说明。</w:t>
      </w:r>
    </w:p>
    <w:p>
      <w:pPr>
        <w:snapToGrid/>
        <w:spacing w:line="560" w:lineRule="exact"/>
        <w:ind w:firstLine="640" w:firstLineChars="200"/>
        <w:rPr>
          <w:rFonts w:ascii="Times New Roman" w:eastAsia="仿宋_GB2312"/>
          <w:szCs w:val="32"/>
        </w:rPr>
      </w:pPr>
      <w:r>
        <w:rPr>
          <w:rFonts w:ascii="Times New Roman" w:eastAsia="仿宋_GB2312"/>
          <w:szCs w:val="32"/>
        </w:rPr>
        <w:t>突发大面积灾情时，为优化理赔程序，加快理赔速度，特采取以下简化手续：</w:t>
      </w:r>
    </w:p>
    <w:p>
      <w:pPr>
        <w:snapToGrid/>
        <w:spacing w:line="560" w:lineRule="exact"/>
        <w:ind w:firstLine="640" w:firstLineChars="200"/>
        <w:rPr>
          <w:rFonts w:ascii="Times New Roman" w:eastAsia="仿宋_GB2312"/>
          <w:szCs w:val="32"/>
        </w:rPr>
      </w:pPr>
      <w:r>
        <w:rPr>
          <w:rFonts w:ascii="Times New Roman" w:eastAsia="仿宋_GB2312"/>
          <w:szCs w:val="32"/>
        </w:rPr>
        <w:t>1.单笔2000元以下的赔案，由居民户籍所在镇（区、街道）应急管理部门和村（居）民委员会协同保险公司认定后，报市应急管理局审核认定。</w:t>
      </w:r>
    </w:p>
    <w:p>
      <w:pPr>
        <w:snapToGrid/>
        <w:spacing w:line="560" w:lineRule="exact"/>
        <w:ind w:firstLine="640" w:firstLineChars="200"/>
        <w:rPr>
          <w:rFonts w:ascii="Times New Roman" w:eastAsia="仿宋_GB2312"/>
          <w:szCs w:val="32"/>
        </w:rPr>
      </w:pPr>
      <w:r>
        <w:rPr>
          <w:rFonts w:ascii="Times New Roman" w:eastAsia="仿宋_GB2312"/>
          <w:szCs w:val="32"/>
        </w:rPr>
        <w:t>2.2000元以下的赔案，在理赔时可不提供发票，2000元以上的，原则上应提供相应的发票，对确实无法提供的，由村（居）民委员会出具证明给予证实。</w:t>
      </w:r>
    </w:p>
    <w:p>
      <w:pPr>
        <w:pStyle w:val="5"/>
        <w:spacing w:line="560" w:lineRule="exact"/>
        <w:ind w:firstLine="540" w:firstLineChars="200"/>
        <w:jc w:val="both"/>
        <w:rPr>
          <w:rFonts w:ascii="Times New Roman" w:eastAsia="黑体"/>
          <w:szCs w:val="32"/>
        </w:rPr>
      </w:pPr>
      <w:r>
        <w:rPr>
          <w:rFonts w:ascii="Times New Roman" w:eastAsia="黑体"/>
          <w:szCs w:val="32"/>
        </w:rPr>
        <w:t>六、</w:t>
      </w:r>
      <w:r>
        <w:rPr>
          <w:rFonts w:ascii="Times New Roman" w:eastAsia="黑体"/>
          <w:spacing w:val="0"/>
          <w:szCs w:val="32"/>
        </w:rPr>
        <w:t>理赔所需资料</w:t>
      </w:r>
    </w:p>
    <w:p>
      <w:pPr>
        <w:snapToGrid/>
        <w:spacing w:line="560" w:lineRule="exact"/>
        <w:ind w:firstLine="560"/>
        <w:rPr>
          <w:rFonts w:ascii="Times New Roman" w:eastAsia="楷体_GB2312"/>
          <w:bCs/>
          <w:szCs w:val="32"/>
        </w:rPr>
      </w:pPr>
      <w:r>
        <w:rPr>
          <w:rFonts w:ascii="Times New Roman" w:eastAsia="楷体_GB2312"/>
          <w:bCs/>
          <w:szCs w:val="32"/>
        </w:rPr>
        <w:t>（一）自然灾害团体人身意外伤害保险保障，需提供的相关资料。</w:t>
      </w:r>
    </w:p>
    <w:p>
      <w:pPr>
        <w:snapToGrid/>
        <w:spacing w:line="560" w:lineRule="exact"/>
        <w:ind w:firstLine="560"/>
        <w:rPr>
          <w:rFonts w:ascii="Times New Roman" w:eastAsia="仿宋_GB2312"/>
          <w:bCs/>
          <w:szCs w:val="32"/>
        </w:rPr>
      </w:pPr>
      <w:r>
        <w:rPr>
          <w:rFonts w:ascii="Times New Roman" w:eastAsia="仿宋_GB2312"/>
          <w:szCs w:val="32"/>
        </w:rPr>
        <w:t>1.索赔通知书。由出险人并经村(居)民委会盖章确认。</w:t>
      </w:r>
    </w:p>
    <w:p>
      <w:pPr>
        <w:snapToGrid/>
        <w:spacing w:line="560" w:lineRule="exact"/>
        <w:ind w:firstLine="560"/>
        <w:rPr>
          <w:rFonts w:ascii="Times New Roman" w:eastAsia="仿宋_GB2312"/>
          <w:bCs/>
          <w:szCs w:val="32"/>
        </w:rPr>
      </w:pPr>
      <w:r>
        <w:rPr>
          <w:rFonts w:ascii="Times New Roman" w:eastAsia="仿宋_GB2312"/>
          <w:szCs w:val="32"/>
        </w:rPr>
        <w:t>2.伤者身份证、户籍证明复印件、新市民应提供</w:t>
      </w:r>
      <w:r>
        <w:rPr>
          <w:rFonts w:ascii="Times New Roman" w:eastAsia="仿宋_GB2312"/>
          <w:sz w:val="30"/>
          <w:szCs w:val="30"/>
        </w:rPr>
        <w:t>居住证和</w:t>
      </w:r>
      <w:r>
        <w:rPr>
          <w:rFonts w:ascii="Times New Roman" w:eastAsia="仿宋_GB2312"/>
          <w:szCs w:val="32"/>
        </w:rPr>
        <w:t>社保缴费证明、银行卡（卡号、姓名、开户银行）。</w:t>
      </w:r>
    </w:p>
    <w:p>
      <w:pPr>
        <w:snapToGrid/>
        <w:spacing w:line="560" w:lineRule="exact"/>
        <w:ind w:firstLine="560"/>
        <w:rPr>
          <w:rFonts w:ascii="Times New Roman" w:eastAsia="仿宋_GB2312"/>
          <w:bCs/>
          <w:szCs w:val="32"/>
        </w:rPr>
      </w:pPr>
      <w:r>
        <w:rPr>
          <w:rFonts w:ascii="Times New Roman" w:eastAsia="仿宋_GB2312"/>
          <w:szCs w:val="32"/>
        </w:rPr>
        <w:t>3.涉及伤残。需提供相关部门伤残鉴定书。</w:t>
      </w:r>
    </w:p>
    <w:p>
      <w:pPr>
        <w:snapToGrid/>
        <w:spacing w:line="560" w:lineRule="exact"/>
        <w:ind w:firstLine="560"/>
        <w:rPr>
          <w:rFonts w:ascii="Times New Roman" w:eastAsia="仿宋_GB2312"/>
          <w:bCs/>
          <w:szCs w:val="32"/>
        </w:rPr>
      </w:pPr>
      <w:r>
        <w:rPr>
          <w:rFonts w:ascii="Times New Roman" w:eastAsia="仿宋_GB2312"/>
          <w:szCs w:val="32"/>
        </w:rPr>
        <w:t>4.涉及死亡。需提供案发地公安派出所盖章的出警证明和经户籍所在地公安派出所盖章的医学死亡证明。</w:t>
      </w:r>
    </w:p>
    <w:p>
      <w:pPr>
        <w:snapToGrid/>
        <w:spacing w:line="560" w:lineRule="exact"/>
        <w:ind w:firstLine="560"/>
        <w:rPr>
          <w:rFonts w:ascii="Times New Roman" w:eastAsia="仿宋_GB2312"/>
          <w:szCs w:val="32"/>
        </w:rPr>
      </w:pPr>
      <w:r>
        <w:rPr>
          <w:rFonts w:ascii="Times New Roman" w:eastAsia="仿宋_GB2312"/>
          <w:szCs w:val="32"/>
        </w:rPr>
        <w:t>5.如因自然灾害导致死亡、伤残，需提供市气象局证明；如因火灾、爆炸导致死亡、伤残，需提供市公安局、市消防救援大队证明；其它原因导致死亡、伤残，需提供市应急管理局证明。</w:t>
      </w:r>
    </w:p>
    <w:p>
      <w:pPr>
        <w:snapToGrid/>
        <w:spacing w:line="560" w:lineRule="exact"/>
        <w:ind w:firstLine="560"/>
        <w:rPr>
          <w:rFonts w:ascii="Times New Roman" w:eastAsia="仿宋_GB2312"/>
          <w:bCs/>
          <w:szCs w:val="32"/>
        </w:rPr>
      </w:pPr>
      <w:r>
        <w:rPr>
          <w:rFonts w:ascii="Times New Roman" w:eastAsia="仿宋_GB2312"/>
          <w:szCs w:val="32"/>
        </w:rPr>
        <w:t>6.凡涉及人员死亡的赔案，在赔付时均需提供由所有受益人签名的“付款协议”。</w:t>
      </w:r>
    </w:p>
    <w:p>
      <w:pPr>
        <w:snapToGrid/>
        <w:spacing w:line="560" w:lineRule="exact"/>
        <w:ind w:firstLine="560"/>
        <w:rPr>
          <w:rFonts w:ascii="Times New Roman" w:eastAsia="楷体_GB2312"/>
          <w:bCs/>
          <w:szCs w:val="32"/>
        </w:rPr>
      </w:pPr>
      <w:r>
        <w:rPr>
          <w:rFonts w:ascii="Times New Roman" w:eastAsia="楷体_GB2312"/>
          <w:bCs/>
          <w:szCs w:val="32"/>
        </w:rPr>
        <w:t>（二）自然灾害房屋保险保障，需提供的相关资料。</w:t>
      </w:r>
    </w:p>
    <w:p>
      <w:pPr>
        <w:snapToGrid/>
        <w:spacing w:line="560" w:lineRule="exact"/>
        <w:ind w:firstLine="560"/>
        <w:rPr>
          <w:rFonts w:ascii="Times New Roman" w:eastAsia="仿宋_GB2312"/>
          <w:bCs/>
          <w:szCs w:val="32"/>
        </w:rPr>
      </w:pPr>
      <w:r>
        <w:rPr>
          <w:rFonts w:ascii="Times New Roman" w:eastAsia="仿宋_GB2312"/>
          <w:szCs w:val="32"/>
        </w:rPr>
        <w:t>1.索赔通知书。由出险人并经村（居）民委员会盖章确认。</w:t>
      </w:r>
    </w:p>
    <w:p>
      <w:pPr>
        <w:snapToGrid/>
        <w:spacing w:line="560" w:lineRule="exact"/>
        <w:ind w:firstLine="560"/>
        <w:rPr>
          <w:rFonts w:ascii="Times New Roman" w:eastAsia="仿宋_GB2312"/>
          <w:bCs/>
          <w:szCs w:val="32"/>
        </w:rPr>
      </w:pPr>
      <w:r>
        <w:rPr>
          <w:rFonts w:ascii="Times New Roman" w:eastAsia="仿宋_GB2312"/>
          <w:szCs w:val="32"/>
        </w:rPr>
        <w:t>2.保险财产损失清单。</w:t>
      </w:r>
    </w:p>
    <w:p>
      <w:pPr>
        <w:snapToGrid/>
        <w:spacing w:line="560" w:lineRule="exact"/>
        <w:ind w:firstLine="560"/>
        <w:rPr>
          <w:rFonts w:ascii="Times New Roman" w:eastAsia="仿宋_GB2312"/>
          <w:bCs/>
          <w:szCs w:val="32"/>
        </w:rPr>
      </w:pPr>
      <w:r>
        <w:rPr>
          <w:rFonts w:ascii="Times New Roman" w:eastAsia="仿宋_GB2312"/>
          <w:szCs w:val="32"/>
        </w:rPr>
        <w:t>3.保险事故现场照片。</w:t>
      </w:r>
    </w:p>
    <w:p>
      <w:pPr>
        <w:snapToGrid/>
        <w:spacing w:line="560" w:lineRule="exact"/>
        <w:ind w:firstLine="560"/>
        <w:rPr>
          <w:rFonts w:ascii="Times New Roman" w:eastAsia="仿宋_GB2312"/>
          <w:bCs/>
          <w:szCs w:val="32"/>
        </w:rPr>
      </w:pPr>
      <w:r>
        <w:rPr>
          <w:rFonts w:ascii="Times New Roman" w:eastAsia="仿宋_GB2312"/>
          <w:szCs w:val="32"/>
        </w:rPr>
        <w:t>4.房屋所有人的身份证、户籍证明复印件、房产证复印件，银行卡（卡号、姓名、开户银行）。</w:t>
      </w:r>
    </w:p>
    <w:p>
      <w:pPr>
        <w:snapToGrid/>
        <w:spacing w:line="560" w:lineRule="exact"/>
        <w:ind w:firstLine="560"/>
        <w:rPr>
          <w:rFonts w:ascii="Times New Roman" w:eastAsia="仿宋_GB2312"/>
          <w:bCs/>
          <w:szCs w:val="32"/>
        </w:rPr>
      </w:pPr>
      <w:r>
        <w:rPr>
          <w:rFonts w:ascii="Times New Roman" w:eastAsia="仿宋_GB2312"/>
          <w:szCs w:val="32"/>
        </w:rPr>
        <w:t>5.如因自然灾害导致财产损失，需提供市气象局证明；如因火灾、爆炸导致财产损失，需提供市公安局、市消防救援大队证明；其它原因导致财产损失，需提供市应急管理局证明。</w:t>
      </w:r>
    </w:p>
    <w:p>
      <w:pPr>
        <w:snapToGrid/>
        <w:spacing w:line="560" w:lineRule="exact"/>
        <w:ind w:firstLine="640" w:firstLineChars="200"/>
        <w:rPr>
          <w:rFonts w:ascii="Times New Roman" w:eastAsia="仿宋_GB2312"/>
          <w:szCs w:val="32"/>
        </w:rPr>
      </w:pPr>
      <w:r>
        <w:rPr>
          <w:rFonts w:ascii="Times New Roman" w:eastAsia="仿宋_GB2312"/>
          <w:szCs w:val="32"/>
        </w:rPr>
        <w:t>以上是发生索赔时需要提供的单证，若因个别特殊案例需要提供另外单证的，市应急管理局应配合提供。</w:t>
      </w:r>
    </w:p>
    <w:p>
      <w:pPr>
        <w:widowControl/>
        <w:spacing w:line="560" w:lineRule="exact"/>
        <w:jc w:val="left"/>
        <w:rPr>
          <w:rFonts w:ascii="Times New Roman" w:eastAsia="仿宋_GB2312"/>
          <w:szCs w:val="32"/>
        </w:rPr>
      </w:pPr>
      <w:r>
        <w:rPr>
          <w:rFonts w:ascii="Times New Roman" w:eastAsia="仿宋_GB2312"/>
          <w:szCs w:val="32"/>
        </w:rPr>
        <w:t>本办法自2021年1月1日起施行。本办法在实施过程的中的具体问题由市应急管理局负责解释。《市政府办公室转发市民政局等单位&lt;太仓市自然灾害民生综合保险实施细则&gt;的通知》（太政办〔2016〕47号）同时废止。</w:t>
      </w:r>
    </w:p>
    <w:p>
      <w:pPr>
        <w:spacing w:line="560" w:lineRule="exact"/>
        <w:ind w:firstLine="0"/>
        <w:jc w:val="left"/>
        <w:rPr>
          <w:rFonts w:ascii="Times New Roman" w:eastAsia="仿宋_GB2312"/>
          <w:bCs/>
          <w:szCs w:val="32"/>
        </w:rPr>
      </w:pPr>
      <w:r>
        <w:rPr>
          <w:rFonts w:ascii="Times New Roman" w:eastAsia="仿宋"/>
          <w:color w:val="000000"/>
        </w:rPr>
        <w:t xml:space="preserve">    </w:t>
      </w:r>
      <w:r>
        <w:rPr>
          <w:rFonts w:ascii="Times New Roman" w:eastAsia="仿宋_GB2312"/>
          <w:bCs/>
          <w:szCs w:val="32"/>
        </w:rPr>
        <w:t>附件：1.保险公司残疾程度与保险金给付比例表</w:t>
      </w:r>
    </w:p>
    <w:p>
      <w:pPr>
        <w:snapToGrid/>
        <w:spacing w:line="560" w:lineRule="exact"/>
        <w:ind w:firstLine="1651" w:firstLineChars="516"/>
        <w:rPr>
          <w:rFonts w:ascii="Times New Roman" w:eastAsia="仿宋_GB2312"/>
          <w:bCs/>
          <w:szCs w:val="32"/>
        </w:rPr>
      </w:pPr>
      <w:r>
        <w:rPr>
          <w:rFonts w:ascii="Times New Roman" w:eastAsia="仿宋_GB2312"/>
          <w:bCs/>
          <w:szCs w:val="32"/>
        </w:rPr>
        <w:t>2.房屋损失核损标准</w:t>
      </w:r>
    </w:p>
    <w:p>
      <w:pPr>
        <w:snapToGrid/>
        <w:spacing w:line="560" w:lineRule="exact"/>
        <w:ind w:firstLine="1619" w:firstLineChars="506"/>
        <w:rPr>
          <w:rFonts w:ascii="Times New Roman" w:eastAsia="仿宋_GB2312"/>
          <w:szCs w:val="32"/>
        </w:rPr>
      </w:pPr>
      <w:r>
        <w:rPr>
          <w:rFonts w:ascii="Times New Roman" w:eastAsia="仿宋_GB2312"/>
          <w:bCs/>
          <w:szCs w:val="32"/>
        </w:rPr>
        <w:t>3.</w:t>
      </w:r>
      <w:r>
        <w:rPr>
          <w:rFonts w:ascii="Times New Roman" w:eastAsia="仿宋_GB2312"/>
          <w:szCs w:val="32"/>
        </w:rPr>
        <w:t>居民死亡、伤残分年龄段赔偿限额表</w:t>
      </w:r>
    </w:p>
    <w:p>
      <w:pPr>
        <w:snapToGrid/>
        <w:spacing w:line="560" w:lineRule="exact"/>
        <w:ind w:firstLine="1651" w:firstLineChars="516"/>
        <w:rPr>
          <w:rFonts w:ascii="Times New Roman" w:eastAsia="仿宋_GB2312"/>
          <w:bCs/>
          <w:szCs w:val="32"/>
        </w:rPr>
      </w:pPr>
      <w:r>
        <w:rPr>
          <w:rFonts w:ascii="Times New Roman" w:eastAsia="仿宋_GB2312"/>
          <w:bCs/>
          <w:szCs w:val="32"/>
        </w:rPr>
        <w:t>4.理赔流程</w:t>
      </w:r>
    </w:p>
    <w:p>
      <w:pPr>
        <w:snapToGrid/>
        <w:spacing w:line="560" w:lineRule="exact"/>
        <w:ind w:firstLine="1651" w:firstLineChars="516"/>
        <w:rPr>
          <w:rFonts w:ascii="Times New Roman" w:eastAsia="仿宋_GB2312"/>
          <w:bCs/>
          <w:szCs w:val="32"/>
        </w:rPr>
      </w:pPr>
      <w:r>
        <w:rPr>
          <w:rFonts w:ascii="Times New Roman" w:eastAsia="仿宋_GB2312"/>
          <w:bCs/>
          <w:szCs w:val="32"/>
        </w:rPr>
        <w:t>5.相关名词释义</w:t>
      </w:r>
    </w:p>
    <w:p>
      <w:pPr>
        <w:pStyle w:val="5"/>
        <w:spacing w:line="300" w:lineRule="auto"/>
        <w:rPr>
          <w:rFonts w:ascii="Times New Roman" w:eastAsia="黑体"/>
          <w:b/>
          <w:spacing w:val="0"/>
          <w:szCs w:val="32"/>
        </w:rPr>
      </w:pPr>
      <w:r>
        <w:rPr>
          <w:rFonts w:ascii="Times New Roman"/>
          <w:szCs w:val="32"/>
        </w:rPr>
        <w:br w:type="page"/>
      </w:r>
      <w:r>
        <w:rPr>
          <w:rFonts w:ascii="Times New Roman" w:eastAsia="黑体"/>
          <w:spacing w:val="0"/>
          <w:szCs w:val="32"/>
        </w:rPr>
        <w:t>附件1</w:t>
      </w:r>
    </w:p>
    <w:p>
      <w:pPr>
        <w:autoSpaceDE/>
        <w:autoSpaceDN/>
        <w:spacing w:line="560" w:lineRule="exact"/>
        <w:jc w:val="center"/>
        <w:rPr>
          <w:rFonts w:ascii="Times New Roman" w:eastAsia="仿宋_GB2312"/>
          <w:szCs w:val="32"/>
        </w:rPr>
      </w:pPr>
      <w:r>
        <w:rPr>
          <w:rFonts w:ascii="Times New Roman" w:eastAsia="宋体"/>
          <w:bCs/>
          <w:sz w:val="44"/>
          <w:szCs w:val="44"/>
        </w:rPr>
        <w:t>人身保险伤残评定标准（行业标准）</w:t>
      </w:r>
    </w:p>
    <w:p>
      <w:pPr>
        <w:autoSpaceDE/>
        <w:autoSpaceDN/>
        <w:spacing w:line="560" w:lineRule="exact"/>
        <w:jc w:val="center"/>
        <w:rPr>
          <w:rFonts w:ascii="Times New Roman" w:eastAsia="仿宋_GB2312"/>
          <w:szCs w:val="32"/>
        </w:rPr>
      </w:pPr>
      <w:r>
        <w:rPr>
          <w:rFonts w:ascii="Times New Roman"/>
        </w:rPr>
        <w:t>（中保协发〔2013〕88号）</w:t>
      </w:r>
    </w:p>
    <w:p>
      <w:pPr>
        <w:adjustRightInd w:val="0"/>
        <w:snapToGrid/>
        <w:spacing w:afterLines="50" w:line="240" w:lineRule="exact"/>
        <w:jc w:val="center"/>
        <w:textAlignment w:val="bottom"/>
        <w:rPr>
          <w:rFonts w:ascii="Times New Roman"/>
        </w:rPr>
      </w:pPr>
    </w:p>
    <w:p>
      <w:pPr>
        <w:pStyle w:val="9"/>
        <w:spacing w:beforeLines="50" w:line="280" w:lineRule="exact"/>
        <w:rPr>
          <w:rFonts w:ascii="Times New Roman" w:hAnsi="Times New Roman"/>
          <w:sz w:val="21"/>
          <w:szCs w:val="21"/>
        </w:rPr>
      </w:pPr>
      <w:r>
        <w:rPr>
          <w:rFonts w:ascii="Times New Roman" w:hAnsi="Times New Roman"/>
          <w:sz w:val="21"/>
          <w:szCs w:val="21"/>
        </w:rPr>
        <w:t>说明：本标准对功能和残疾进行了分类和分级，将人身保险伤残程度划分为一至十级，最重为第一级，最轻为第十级。与人身保险伤残程度等级相对应的保险金给付比例分为十档，伤残程度第一级对应的保险金给付比例为100%，伤残程度第十级对应的保险金给付比例为10%，每级相差10%。</w:t>
      </w:r>
    </w:p>
    <w:p>
      <w:pPr>
        <w:pStyle w:val="3"/>
        <w:keepNext w:val="0"/>
        <w:keepLines w:val="0"/>
        <w:widowControl/>
        <w:numPr>
          <w:ilvl w:val="0"/>
          <w:numId w:val="1"/>
        </w:numPr>
        <w:autoSpaceDE/>
        <w:autoSpaceDN/>
        <w:snapToGrid/>
        <w:spacing w:before="0" w:after="0" w:line="320" w:lineRule="exact"/>
        <w:contextualSpacing/>
        <w:jc w:val="left"/>
        <w:rPr>
          <w:rFonts w:ascii="Times New Roman" w:hAnsi="Times New Roman" w:eastAsia="宋体" w:cs="Times New Roman"/>
          <w:sz w:val="24"/>
          <w:szCs w:val="24"/>
        </w:rPr>
      </w:pPr>
      <w:bookmarkStart w:id="0" w:name="_Toc356463463"/>
      <w:r>
        <w:rPr>
          <w:rFonts w:ascii="Times New Roman" w:hAnsi="Times New Roman" w:eastAsia="宋体" w:cs="Times New Roman"/>
          <w:sz w:val="24"/>
          <w:szCs w:val="24"/>
        </w:rPr>
        <w:t>神经系统的结构和精神功能</w:t>
      </w:r>
      <w:bookmarkEnd w:id="0"/>
    </w:p>
    <w:p>
      <w:pPr>
        <w:pStyle w:val="4"/>
        <w:keepNext w:val="0"/>
        <w:keepLines w:val="0"/>
        <w:widowControl/>
        <w:numPr>
          <w:ilvl w:val="1"/>
          <w:numId w:val="1"/>
        </w:numPr>
        <w:autoSpaceDE/>
        <w:autoSpaceDN/>
        <w:snapToGrid/>
        <w:spacing w:before="0" w:afterLines="30" w:line="320" w:lineRule="exact"/>
        <w:ind w:left="0" w:firstLine="0"/>
        <w:contextualSpacing/>
        <w:jc w:val="left"/>
        <w:rPr>
          <w:rFonts w:ascii="Times New Roman"/>
          <w:sz w:val="24"/>
          <w:szCs w:val="24"/>
        </w:rPr>
      </w:pPr>
      <w:bookmarkStart w:id="1" w:name="_Toc356463464"/>
      <w:r>
        <w:rPr>
          <w:rFonts w:ascii="Times New Roman"/>
          <w:sz w:val="24"/>
          <w:szCs w:val="24"/>
        </w:rPr>
        <w:t>脑膜的结构损伤</w:t>
      </w:r>
      <w:bookmarkEnd w:id="1"/>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8"/>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8" w:type="dxa"/>
            <w:vAlign w:val="center"/>
          </w:tcPr>
          <w:p>
            <w:pPr>
              <w:pStyle w:val="10"/>
              <w:spacing w:line="240" w:lineRule="exact"/>
              <w:rPr>
                <w:rFonts w:ascii="Times New Roman" w:hAnsi="Times New Roman"/>
                <w:sz w:val="21"/>
                <w:szCs w:val="21"/>
              </w:rPr>
            </w:pPr>
            <w:r>
              <w:rPr>
                <w:rFonts w:ascii="Times New Roman" w:hAnsi="Times New Roman"/>
                <w:sz w:val="21"/>
                <w:szCs w:val="21"/>
              </w:rPr>
              <w:t>外伤性脑脊液鼻漏或耳漏</w:t>
            </w:r>
          </w:p>
        </w:tc>
        <w:tc>
          <w:tcPr>
            <w:tcW w:w="1284" w:type="dxa"/>
            <w:vAlign w:val="center"/>
          </w:tcPr>
          <w:p>
            <w:pPr>
              <w:pStyle w:val="10"/>
              <w:spacing w:line="240" w:lineRule="exact"/>
              <w:rPr>
                <w:rFonts w:ascii="Times New Roman" w:hAnsi="Times New Roman"/>
                <w:color w:val="000000"/>
                <w:sz w:val="21"/>
                <w:szCs w:val="21"/>
              </w:rPr>
            </w:pPr>
            <w:r>
              <w:rPr>
                <w:rFonts w:ascii="Times New Roman" w:hAnsi="Times New Roman"/>
                <w:color w:val="000000"/>
                <w:sz w:val="21"/>
                <w:szCs w:val="21"/>
              </w:rPr>
              <w:t>10级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4"/>
          <w:szCs w:val="24"/>
        </w:rPr>
      </w:pPr>
      <w:bookmarkStart w:id="2" w:name="_Toc356463465"/>
      <w:r>
        <w:rPr>
          <w:rFonts w:ascii="Times New Roman"/>
          <w:sz w:val="24"/>
          <w:szCs w:val="24"/>
        </w:rPr>
        <w:t>脑的结构损伤，智力功能障碍</w:t>
      </w:r>
      <w:bookmarkEnd w:id="2"/>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5"/>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5" w:type="dxa"/>
            <w:vAlign w:val="center"/>
          </w:tcPr>
          <w:p>
            <w:pPr>
              <w:pStyle w:val="10"/>
              <w:spacing w:line="240" w:lineRule="exact"/>
              <w:rPr>
                <w:rFonts w:ascii="Times New Roman" w:hAnsi="Times New Roman"/>
                <w:sz w:val="21"/>
                <w:szCs w:val="21"/>
              </w:rPr>
            </w:pPr>
            <w:r>
              <w:rPr>
                <w:rFonts w:ascii="Times New Roman" w:hAnsi="Times New Roman"/>
                <w:sz w:val="21"/>
                <w:szCs w:val="21"/>
              </w:rPr>
              <w:t>颅脑损伤导致极度智力缺损（智商小于等于20），日常生活完全不能自理，处于完全护理依赖状态</w:t>
            </w:r>
          </w:p>
        </w:tc>
        <w:tc>
          <w:tcPr>
            <w:tcW w:w="137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5" w:type="dxa"/>
            <w:vAlign w:val="center"/>
          </w:tcPr>
          <w:p>
            <w:pPr>
              <w:pStyle w:val="10"/>
              <w:spacing w:line="240" w:lineRule="exact"/>
              <w:rPr>
                <w:rFonts w:ascii="Times New Roman" w:hAnsi="Times New Roman"/>
                <w:sz w:val="21"/>
                <w:szCs w:val="21"/>
              </w:rPr>
            </w:pPr>
            <w:r>
              <w:rPr>
                <w:rFonts w:ascii="Times New Roman" w:hAnsi="Times New Roman"/>
                <w:sz w:val="21"/>
                <w:szCs w:val="21"/>
              </w:rPr>
              <w:t>颅脑损伤导致重度智力缺损（智商小于等于34），日常生活需随时有人帮助才能完成，处于完全护理依赖状态</w:t>
            </w:r>
          </w:p>
        </w:tc>
        <w:tc>
          <w:tcPr>
            <w:tcW w:w="137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5" w:type="dxa"/>
            <w:vAlign w:val="center"/>
          </w:tcPr>
          <w:p>
            <w:pPr>
              <w:pStyle w:val="10"/>
              <w:spacing w:line="240" w:lineRule="exact"/>
              <w:rPr>
                <w:rFonts w:ascii="Times New Roman" w:hAnsi="Times New Roman"/>
                <w:sz w:val="21"/>
                <w:szCs w:val="21"/>
              </w:rPr>
            </w:pPr>
            <w:r>
              <w:rPr>
                <w:rFonts w:ascii="Times New Roman" w:hAnsi="Times New Roman"/>
                <w:sz w:val="21"/>
                <w:szCs w:val="21"/>
              </w:rPr>
              <w:t>颅脑损伤导致重度智力缺损（智商小于等于34），不能完全独立生活，需经常有人监护，处于大部分护理依赖状态</w:t>
            </w:r>
          </w:p>
        </w:tc>
        <w:tc>
          <w:tcPr>
            <w:tcW w:w="137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5" w:type="dxa"/>
            <w:vAlign w:val="center"/>
          </w:tcPr>
          <w:p>
            <w:pPr>
              <w:pStyle w:val="10"/>
              <w:spacing w:line="240" w:lineRule="exact"/>
              <w:rPr>
                <w:rFonts w:ascii="Times New Roman" w:hAnsi="Times New Roman"/>
                <w:sz w:val="21"/>
                <w:szCs w:val="21"/>
              </w:rPr>
            </w:pPr>
            <w:r>
              <w:rPr>
                <w:rFonts w:ascii="Times New Roman" w:hAnsi="Times New Roman"/>
                <w:sz w:val="21"/>
                <w:szCs w:val="21"/>
              </w:rPr>
              <w:t>颅脑损伤导致中度智力缺损（智商小于等于49），日常生活能力严重受限，间或需要帮助，处于大部分护理依赖状态</w:t>
            </w:r>
          </w:p>
        </w:tc>
        <w:tc>
          <w:tcPr>
            <w:tcW w:w="137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bl>
    <w:p>
      <w:pPr>
        <w:pStyle w:val="9"/>
        <w:spacing w:beforeLines="50" w:line="280" w:lineRule="exact"/>
        <w:rPr>
          <w:rFonts w:ascii="Times New Roman" w:hAnsi="Times New Roman"/>
          <w:sz w:val="21"/>
          <w:szCs w:val="21"/>
        </w:rPr>
      </w:pPr>
      <w:r>
        <w:rPr>
          <w:rFonts w:ascii="Times New Roman" w:hAnsi="Times New Roman"/>
          <w:sz w:val="21"/>
          <w:szCs w:val="21"/>
        </w:rPr>
        <w:t>注：①护理依赖：应用“基本日常生活活动能力”的丧失程度来判断护理依赖程度。</w:t>
      </w:r>
    </w:p>
    <w:p>
      <w:pPr>
        <w:pStyle w:val="9"/>
        <w:spacing w:beforeLines="50" w:line="280" w:lineRule="exact"/>
        <w:ind w:firstLine="420" w:firstLineChars="200"/>
        <w:rPr>
          <w:rFonts w:ascii="Times New Roman" w:hAnsi="Times New Roman"/>
          <w:sz w:val="21"/>
          <w:szCs w:val="21"/>
        </w:rPr>
      </w:pPr>
      <w:r>
        <w:rPr>
          <w:rFonts w:ascii="Times New Roman" w:hAnsi="Times New Roman"/>
          <w:sz w:val="21"/>
          <w:szCs w:val="21"/>
        </w:rPr>
        <w:t>②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pPr>
        <w:pStyle w:val="9"/>
        <w:spacing w:beforeLines="50" w:line="280" w:lineRule="exact"/>
        <w:ind w:firstLine="420" w:firstLineChars="200"/>
        <w:rPr>
          <w:rFonts w:ascii="Times New Roman" w:hAnsi="Times New Roman"/>
          <w:sz w:val="21"/>
          <w:szCs w:val="21"/>
        </w:rPr>
      </w:pPr>
      <w:r>
        <w:rPr>
          <w:rFonts w:ascii="Times New Roman" w:hAnsi="Times New Roman"/>
          <w:sz w:val="21"/>
          <w:szCs w:val="21"/>
        </w:rPr>
        <w:t>③护理依赖的程度分三级：（1）完全护理依赖指生活完全不能自理，上述六项基本日常生活活动均需护理者；（2）大部分护理依赖指生活大部不能自理，上述六项基本日常生活活动中三项或三项以上需要护理者；（3）部分护理依赖指部分生活不能自理，上述六项基本日常生活活动中一项或一项以上需要护理者。</w:t>
      </w:r>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4"/>
          <w:szCs w:val="24"/>
        </w:rPr>
      </w:pPr>
      <w:bookmarkStart w:id="3" w:name="_Toc356463466"/>
      <w:r>
        <w:rPr>
          <w:rFonts w:ascii="Times New Roman"/>
          <w:sz w:val="24"/>
          <w:szCs w:val="24"/>
        </w:rPr>
        <w:t>意识功能障碍</w:t>
      </w:r>
      <w:bookmarkEnd w:id="3"/>
    </w:p>
    <w:p>
      <w:pPr>
        <w:pStyle w:val="9"/>
        <w:spacing w:beforeLines="30" w:line="280" w:lineRule="exact"/>
        <w:rPr>
          <w:rFonts w:ascii="Times New Roman" w:hAnsi="Times New Roman"/>
          <w:kern w:val="2"/>
          <w:sz w:val="21"/>
          <w:szCs w:val="21"/>
        </w:rPr>
      </w:pPr>
      <w:r>
        <w:rPr>
          <w:rFonts w:ascii="Times New Roman" w:hAnsi="Times New Roman"/>
          <w:kern w:val="2"/>
          <w:sz w:val="21"/>
          <w:szCs w:val="21"/>
        </w:rPr>
        <w:t>意识功能是指意识和警觉状态下的一般精神功能，包括清醒和持续的觉醒状态。本标准中的意识功能障碍是指颅脑损伤导致植物状态。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0"/>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20" w:type="dxa"/>
            <w:vAlign w:val="center"/>
          </w:tcPr>
          <w:p>
            <w:pPr>
              <w:pStyle w:val="10"/>
              <w:spacing w:line="240" w:lineRule="exact"/>
              <w:rPr>
                <w:rFonts w:ascii="Times New Roman" w:hAnsi="Times New Roman"/>
                <w:sz w:val="21"/>
                <w:szCs w:val="21"/>
              </w:rPr>
            </w:pPr>
            <w:r>
              <w:rPr>
                <w:rFonts w:ascii="Times New Roman" w:hAnsi="Times New Roman"/>
                <w:sz w:val="21"/>
                <w:szCs w:val="21"/>
              </w:rPr>
              <w:t>颅脑损伤导致植物状态</w:t>
            </w:r>
          </w:p>
        </w:tc>
        <w:tc>
          <w:tcPr>
            <w:tcW w:w="1194" w:type="dxa"/>
            <w:vAlign w:val="center"/>
          </w:tcPr>
          <w:p>
            <w:pPr>
              <w:pStyle w:val="10"/>
              <w:spacing w:line="240" w:lineRule="exact"/>
              <w:rPr>
                <w:rFonts w:ascii="Times New Roman" w:hAnsi="Times New Roman"/>
                <w:sz w:val="21"/>
                <w:szCs w:val="21"/>
              </w:rPr>
            </w:pPr>
            <w:r>
              <w:rPr>
                <w:rFonts w:ascii="Times New Roman" w:hAnsi="Times New Roman"/>
                <w:sz w:val="21"/>
                <w:szCs w:val="21"/>
              </w:rPr>
              <w:t>1级</w:t>
            </w:r>
          </w:p>
        </w:tc>
      </w:tr>
    </w:tbl>
    <w:p>
      <w:pPr>
        <w:pStyle w:val="9"/>
        <w:spacing w:beforeLines="30" w:line="280" w:lineRule="exact"/>
        <w:rPr>
          <w:rFonts w:ascii="Times New Roman" w:hAnsi="Times New Roman"/>
          <w:szCs w:val="21"/>
        </w:rPr>
      </w:pPr>
      <w:r>
        <w:rPr>
          <w:rFonts w:ascii="Times New Roman" w:hAnsi="Times New Roman"/>
          <w:kern w:val="2"/>
          <w:sz w:val="21"/>
          <w:szCs w:val="21"/>
        </w:rPr>
        <w:t>注：植物状态指由于严重颅脑损伤造成认知功能丧失，无意识活动，不能执行命令，保持自主呼吸和血压，有睡眠-醒觉周期，不能理解和表达语言，能自动睁眼或刺激下睁眼，可有无目的性眼球跟踪运动，丘脑下部及脑干功能基本保存。</w:t>
      </w:r>
    </w:p>
    <w:p>
      <w:pPr>
        <w:pStyle w:val="3"/>
        <w:keepNext w:val="0"/>
        <w:keepLines w:val="0"/>
        <w:widowControl/>
        <w:numPr>
          <w:ilvl w:val="0"/>
          <w:numId w:val="1"/>
        </w:numPr>
        <w:autoSpaceDE/>
        <w:autoSpaceDN/>
        <w:snapToGrid/>
        <w:spacing w:before="0" w:after="0" w:line="240" w:lineRule="auto"/>
        <w:contextualSpacing/>
        <w:jc w:val="left"/>
        <w:rPr>
          <w:rFonts w:ascii="Times New Roman" w:hAnsi="Times New Roman" w:cs="Times New Roman"/>
          <w:sz w:val="21"/>
          <w:szCs w:val="21"/>
        </w:rPr>
      </w:pPr>
      <w:bookmarkStart w:id="4" w:name="_Toc356463467"/>
      <w:r>
        <w:rPr>
          <w:rFonts w:ascii="Times New Roman" w:hAnsi="Times New Roman" w:cs="Times New Roman"/>
          <w:sz w:val="21"/>
          <w:szCs w:val="21"/>
        </w:rPr>
        <w:t>眼，耳和有关的结构和功能</w:t>
      </w:r>
      <w:bookmarkEnd w:id="4"/>
    </w:p>
    <w:p>
      <w:pPr>
        <w:pStyle w:val="4"/>
        <w:keepNext w:val="0"/>
        <w:keepLines w:val="0"/>
        <w:widowControl/>
        <w:numPr>
          <w:ilvl w:val="1"/>
          <w:numId w:val="1"/>
        </w:numPr>
        <w:autoSpaceDE/>
        <w:autoSpaceDN/>
        <w:snapToGrid/>
        <w:spacing w:before="0" w:after="0" w:line="240" w:lineRule="auto"/>
        <w:ind w:left="0" w:firstLine="0"/>
        <w:contextualSpacing/>
        <w:jc w:val="left"/>
        <w:rPr>
          <w:rFonts w:ascii="Times New Roman"/>
          <w:sz w:val="21"/>
          <w:szCs w:val="21"/>
        </w:rPr>
      </w:pPr>
      <w:bookmarkStart w:id="5" w:name="_Toc356463468"/>
      <w:r>
        <w:rPr>
          <w:rFonts w:ascii="Times New Roman"/>
          <w:sz w:val="21"/>
          <w:szCs w:val="21"/>
        </w:rPr>
        <w:t>眼球损伤或视功能障碍</w:t>
      </w:r>
      <w:bookmarkEnd w:id="5"/>
    </w:p>
    <w:p>
      <w:pPr>
        <w:pStyle w:val="9"/>
        <w:spacing w:beforeLines="50" w:line="280" w:lineRule="exact"/>
        <w:rPr>
          <w:rFonts w:ascii="Times New Roman" w:hAnsi="Times New Roman"/>
          <w:sz w:val="21"/>
          <w:szCs w:val="21"/>
        </w:rPr>
      </w:pPr>
      <w:r>
        <w:rPr>
          <w:rFonts w:ascii="Times New Roman" w:hAnsi="Times New Roman"/>
          <w:sz w:val="21"/>
          <w:szCs w:val="21"/>
        </w:rPr>
        <w:t>视功能是指与感受存在的光线和感受视觉刺激的形式、大小、形状和颜色等有关的感觉功能。本标准中的视功能障碍是指眼盲目或低视力。</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0" w:type="dxa"/>
            <w:vAlign w:val="center"/>
          </w:tcPr>
          <w:p>
            <w:pPr>
              <w:pStyle w:val="10"/>
              <w:spacing w:line="240" w:lineRule="exact"/>
              <w:rPr>
                <w:rFonts w:ascii="Times New Roman" w:hAnsi="Times New Roman"/>
                <w:sz w:val="21"/>
                <w:szCs w:val="21"/>
              </w:rPr>
            </w:pPr>
            <w:r>
              <w:rPr>
                <w:rFonts w:ascii="Times New Roman" w:hAnsi="Times New Roman"/>
                <w:sz w:val="21"/>
                <w:szCs w:val="21"/>
              </w:rPr>
              <w:t>双侧眼球缺失</w:t>
            </w:r>
          </w:p>
        </w:tc>
        <w:tc>
          <w:tcPr>
            <w:tcW w:w="1383"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0"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一侧眼球缺失，且另一侧眼盲目5级</w:t>
            </w:r>
          </w:p>
        </w:tc>
        <w:tc>
          <w:tcPr>
            <w:tcW w:w="1383"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0"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一侧眼球缺失，且另一侧眼盲目4级</w:t>
            </w:r>
          </w:p>
        </w:tc>
        <w:tc>
          <w:tcPr>
            <w:tcW w:w="1383"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0"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一侧眼球缺失，且另一侧眼盲目3级</w:t>
            </w:r>
          </w:p>
        </w:tc>
        <w:tc>
          <w:tcPr>
            <w:tcW w:w="1383"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0"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一侧眼球缺失，且另一侧眼低视力2级</w:t>
            </w:r>
          </w:p>
        </w:tc>
        <w:tc>
          <w:tcPr>
            <w:tcW w:w="1383"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0"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一侧眼球缺失，且另一侧眼低视力1级</w:t>
            </w:r>
          </w:p>
        </w:tc>
        <w:tc>
          <w:tcPr>
            <w:tcW w:w="1383"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0"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一侧眼球缺失</w:t>
            </w:r>
          </w:p>
        </w:tc>
        <w:tc>
          <w:tcPr>
            <w:tcW w:w="1383"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bl>
    <w:p>
      <w:pPr>
        <w:pStyle w:val="4"/>
        <w:keepNext w:val="0"/>
        <w:keepLines w:val="0"/>
        <w:widowControl/>
        <w:numPr>
          <w:ilvl w:val="1"/>
          <w:numId w:val="1"/>
        </w:numPr>
        <w:autoSpaceDE/>
        <w:autoSpaceDN/>
        <w:snapToGrid/>
        <w:spacing w:beforeLines="30" w:after="0" w:line="240" w:lineRule="auto"/>
        <w:ind w:left="0" w:firstLine="0"/>
        <w:contextualSpacing/>
        <w:jc w:val="left"/>
        <w:rPr>
          <w:rFonts w:ascii="Times New Roman"/>
          <w:sz w:val="21"/>
          <w:szCs w:val="21"/>
        </w:rPr>
      </w:pPr>
      <w:bookmarkStart w:id="6" w:name="_Toc356463469"/>
      <w:r>
        <w:rPr>
          <w:rFonts w:ascii="Times New Roman"/>
          <w:sz w:val="21"/>
          <w:szCs w:val="21"/>
        </w:rPr>
        <w:t>视功能障碍</w:t>
      </w:r>
      <w:bookmarkEnd w:id="6"/>
    </w:p>
    <w:p>
      <w:pPr>
        <w:pStyle w:val="9"/>
        <w:spacing w:beforeLines="50" w:line="280" w:lineRule="exact"/>
        <w:rPr>
          <w:rFonts w:ascii="Times New Roman" w:hAnsi="Times New Roman"/>
          <w:sz w:val="21"/>
          <w:szCs w:val="21"/>
        </w:rPr>
      </w:pPr>
      <w:r>
        <w:rPr>
          <w:rFonts w:ascii="Times New Roman" w:hAnsi="Times New Roman"/>
          <w:sz w:val="21"/>
          <w:szCs w:val="21"/>
        </w:rPr>
        <w:t>除眼盲目和低视力外，本标准中的视功能障碍还包括视野缺损。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双眼盲目5级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双眼视野缺损，直径小于5°</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双眼盲目大于等于4级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双眼视野缺损，直径小于10°</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双眼盲目大于等于3级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双眼视野缺损，直径小于20°</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双眼低视力大于等于2级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双眼低视力大于等于1级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双眼视野缺损，直径小于60°</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一眼盲目5级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一眼视野缺损，直径小于5°</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一眼盲目大于等于4级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一眼视野缺损，直径小于10°</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一眼盲目大于等于3级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一眼视野缺损，直径小于20°</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一眼低视力大于等于1级。</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一眼视野缺损，直径小于60°</w:t>
            </w:r>
          </w:p>
        </w:tc>
        <w:tc>
          <w:tcPr>
            <w:tcW w:w="129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9"/>
        <w:spacing w:beforeLines="30" w:line="280" w:lineRule="exact"/>
        <w:rPr>
          <w:rFonts w:ascii="Times New Roman" w:hAnsi="Times New Roman"/>
          <w:sz w:val="21"/>
          <w:szCs w:val="21"/>
        </w:rPr>
      </w:pPr>
      <w:r>
        <w:rPr>
          <w:rFonts w:ascii="Times New Roman" w:hAnsi="Times New Roman"/>
          <w:sz w:val="21"/>
          <w:szCs w:val="21"/>
          <w:lang w:val="en-GB"/>
        </w:rPr>
        <w:t>注：</w:t>
      </w:r>
      <w:r>
        <w:rPr>
          <w:rFonts w:ascii="Times New Roman" w:hAnsi="Times New Roman"/>
          <w:sz w:val="21"/>
          <w:szCs w:val="21"/>
          <w:lang w:val="en-GB"/>
        </w:rPr>
        <w:fldChar w:fldCharType="begin"/>
      </w:r>
      <w:r>
        <w:rPr>
          <w:rFonts w:ascii="Times New Roman" w:hAnsi="Times New Roman"/>
          <w:sz w:val="21"/>
          <w:szCs w:val="21"/>
          <w:lang w:val="en-GB"/>
        </w:rPr>
        <w:instrText xml:space="preserve"> = 1 \* GB3 </w:instrText>
      </w:r>
      <w:r>
        <w:rPr>
          <w:rFonts w:ascii="Times New Roman" w:hAnsi="Times New Roman"/>
          <w:sz w:val="21"/>
          <w:szCs w:val="21"/>
          <w:lang w:val="en-GB"/>
        </w:rPr>
        <w:fldChar w:fldCharType="separate"/>
      </w:r>
      <w:r>
        <w:rPr>
          <w:rFonts w:ascii="Times New Roman" w:hAnsi="Times New Roman"/>
          <w:sz w:val="21"/>
          <w:szCs w:val="21"/>
          <w:lang w:val="en-GB"/>
        </w:rPr>
        <w:t>①</w:t>
      </w:r>
      <w:r>
        <w:rPr>
          <w:rFonts w:ascii="Times New Roman" w:hAnsi="Times New Roman"/>
          <w:sz w:val="21"/>
          <w:szCs w:val="21"/>
          <w:lang w:val="en-GB"/>
        </w:rPr>
        <w:fldChar w:fldCharType="end"/>
      </w:r>
      <w:r>
        <w:rPr>
          <w:rFonts w:ascii="Times New Roman" w:hAnsi="Times New Roman"/>
          <w:sz w:val="21"/>
          <w:szCs w:val="21"/>
        </w:rPr>
        <w:t>视力和视野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772"/>
        <w:gridCol w:w="2552"/>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2548" w:type="dxa"/>
            <w:gridSpan w:val="2"/>
            <w:vMerge w:val="restart"/>
            <w:vAlign w:val="center"/>
          </w:tcPr>
          <w:p>
            <w:pPr>
              <w:pStyle w:val="9"/>
              <w:spacing w:line="240" w:lineRule="exact"/>
              <w:jc w:val="center"/>
              <w:rPr>
                <w:rFonts w:ascii="Times New Roman" w:hAnsi="Times New Roman"/>
                <w:sz w:val="21"/>
                <w:szCs w:val="21"/>
              </w:rPr>
            </w:pPr>
            <w:r>
              <w:rPr>
                <w:rFonts w:ascii="Times New Roman" w:hAnsi="Times New Roman"/>
                <w:sz w:val="21"/>
                <w:szCs w:val="21"/>
              </w:rPr>
              <w:t>级别</w:t>
            </w:r>
          </w:p>
        </w:tc>
        <w:tc>
          <w:tcPr>
            <w:tcW w:w="5774" w:type="dxa"/>
            <w:gridSpan w:val="2"/>
            <w:vAlign w:val="center"/>
          </w:tcPr>
          <w:p>
            <w:pPr>
              <w:pStyle w:val="9"/>
              <w:spacing w:line="240" w:lineRule="exact"/>
              <w:jc w:val="center"/>
              <w:rPr>
                <w:rFonts w:ascii="Times New Roman" w:hAnsi="Times New Roman"/>
                <w:sz w:val="21"/>
                <w:szCs w:val="21"/>
              </w:rPr>
            </w:pPr>
            <w:r>
              <w:rPr>
                <w:rFonts w:ascii="Times New Roman" w:hAnsi="Times New Roman"/>
                <w:sz w:val="21"/>
                <w:szCs w:val="21"/>
              </w:rPr>
              <w:t>低视力及盲目分级标准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548" w:type="dxa"/>
            <w:gridSpan w:val="2"/>
            <w:vMerge w:val="continue"/>
            <w:vAlign w:val="center"/>
          </w:tcPr>
          <w:p>
            <w:pPr>
              <w:pStyle w:val="9"/>
              <w:spacing w:line="240" w:lineRule="exact"/>
              <w:jc w:val="center"/>
              <w:rPr>
                <w:rFonts w:ascii="Times New Roman" w:hAnsi="Times New Roman"/>
                <w:sz w:val="21"/>
                <w:szCs w:val="21"/>
              </w:rPr>
            </w:pPr>
          </w:p>
        </w:tc>
        <w:tc>
          <w:tcPr>
            <w:tcW w:w="5774" w:type="dxa"/>
            <w:gridSpan w:val="2"/>
            <w:vAlign w:val="center"/>
          </w:tcPr>
          <w:p>
            <w:pPr>
              <w:pStyle w:val="9"/>
              <w:spacing w:line="240" w:lineRule="exact"/>
              <w:jc w:val="center"/>
              <w:rPr>
                <w:rFonts w:ascii="Times New Roman" w:hAnsi="Times New Roman"/>
                <w:sz w:val="21"/>
                <w:szCs w:val="21"/>
              </w:rPr>
            </w:pPr>
            <w:r>
              <w:rPr>
                <w:rFonts w:ascii="Times New Roman" w:hAnsi="Times New Roman"/>
                <w:sz w:val="21"/>
                <w:szCs w:val="21"/>
              </w:rPr>
              <w:t>最好矫正视力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48" w:type="dxa"/>
            <w:gridSpan w:val="2"/>
            <w:vMerge w:val="continue"/>
            <w:vAlign w:val="center"/>
          </w:tcPr>
          <w:p>
            <w:pPr>
              <w:pStyle w:val="9"/>
              <w:spacing w:line="240" w:lineRule="exact"/>
              <w:jc w:val="center"/>
              <w:rPr>
                <w:rFonts w:ascii="Times New Roman" w:hAnsi="Times New Roman"/>
                <w:sz w:val="21"/>
                <w:szCs w:val="21"/>
              </w:rPr>
            </w:pPr>
          </w:p>
        </w:tc>
        <w:tc>
          <w:tcPr>
            <w:tcW w:w="255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最好矫正视力低于</w:t>
            </w:r>
          </w:p>
        </w:tc>
        <w:tc>
          <w:tcPr>
            <w:tcW w:w="322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最低矫正视力等于或优于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restart"/>
            <w:vAlign w:val="center"/>
          </w:tcPr>
          <w:p>
            <w:pPr>
              <w:pStyle w:val="9"/>
              <w:spacing w:line="240" w:lineRule="exact"/>
              <w:jc w:val="center"/>
              <w:rPr>
                <w:rFonts w:ascii="Times New Roman" w:hAnsi="Times New Roman"/>
                <w:sz w:val="21"/>
                <w:szCs w:val="21"/>
              </w:rPr>
            </w:pPr>
            <w:r>
              <w:rPr>
                <w:rFonts w:ascii="Times New Roman" w:hAnsi="Times New Roman"/>
                <w:sz w:val="21"/>
                <w:szCs w:val="21"/>
              </w:rPr>
              <w:t>低视力</w:t>
            </w:r>
          </w:p>
        </w:tc>
        <w:tc>
          <w:tcPr>
            <w:tcW w:w="77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1</w:t>
            </w:r>
          </w:p>
        </w:tc>
        <w:tc>
          <w:tcPr>
            <w:tcW w:w="255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0.3</w:t>
            </w:r>
          </w:p>
        </w:tc>
        <w:tc>
          <w:tcPr>
            <w:tcW w:w="322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776" w:type="dxa"/>
            <w:vMerge w:val="continue"/>
            <w:vAlign w:val="center"/>
          </w:tcPr>
          <w:p>
            <w:pPr>
              <w:pStyle w:val="9"/>
              <w:spacing w:line="240" w:lineRule="exact"/>
              <w:jc w:val="center"/>
              <w:rPr>
                <w:rFonts w:ascii="Times New Roman" w:hAnsi="Times New Roman"/>
                <w:sz w:val="21"/>
                <w:szCs w:val="21"/>
              </w:rPr>
            </w:pPr>
          </w:p>
        </w:tc>
        <w:tc>
          <w:tcPr>
            <w:tcW w:w="77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2</w:t>
            </w:r>
          </w:p>
        </w:tc>
        <w:tc>
          <w:tcPr>
            <w:tcW w:w="255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0.1</w:t>
            </w:r>
          </w:p>
        </w:tc>
        <w:tc>
          <w:tcPr>
            <w:tcW w:w="322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0.05（三米指数）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776" w:type="dxa"/>
            <w:vMerge w:val="restart"/>
            <w:vAlign w:val="center"/>
          </w:tcPr>
          <w:p>
            <w:pPr>
              <w:pStyle w:val="9"/>
              <w:spacing w:line="240" w:lineRule="exact"/>
              <w:jc w:val="center"/>
              <w:rPr>
                <w:rFonts w:ascii="Times New Roman" w:hAnsi="Times New Roman"/>
                <w:sz w:val="21"/>
                <w:szCs w:val="21"/>
              </w:rPr>
            </w:pPr>
            <w:r>
              <w:rPr>
                <w:rFonts w:ascii="Times New Roman" w:hAnsi="Times New Roman"/>
                <w:sz w:val="21"/>
                <w:szCs w:val="21"/>
              </w:rPr>
              <w:t>盲目</w:t>
            </w:r>
          </w:p>
        </w:tc>
        <w:tc>
          <w:tcPr>
            <w:tcW w:w="77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3</w:t>
            </w:r>
          </w:p>
        </w:tc>
        <w:tc>
          <w:tcPr>
            <w:tcW w:w="255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0.05</w:t>
            </w:r>
          </w:p>
        </w:tc>
        <w:tc>
          <w:tcPr>
            <w:tcW w:w="322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0.02（一米指数）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continue"/>
            <w:vAlign w:val="center"/>
          </w:tcPr>
          <w:p>
            <w:pPr>
              <w:pStyle w:val="9"/>
              <w:spacing w:line="240" w:lineRule="exact"/>
              <w:jc w:val="center"/>
              <w:rPr>
                <w:rFonts w:ascii="Times New Roman" w:hAnsi="Times New Roman"/>
                <w:sz w:val="21"/>
                <w:szCs w:val="21"/>
              </w:rPr>
            </w:pPr>
          </w:p>
        </w:tc>
        <w:tc>
          <w:tcPr>
            <w:tcW w:w="77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4</w:t>
            </w:r>
          </w:p>
        </w:tc>
        <w:tc>
          <w:tcPr>
            <w:tcW w:w="255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0.02</w:t>
            </w:r>
          </w:p>
        </w:tc>
        <w:tc>
          <w:tcPr>
            <w:tcW w:w="322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76" w:type="dxa"/>
            <w:vMerge w:val="continue"/>
            <w:vAlign w:val="center"/>
          </w:tcPr>
          <w:p>
            <w:pPr>
              <w:pStyle w:val="9"/>
              <w:spacing w:line="240" w:lineRule="exact"/>
              <w:jc w:val="center"/>
              <w:rPr>
                <w:rFonts w:ascii="Times New Roman" w:hAnsi="Times New Roman"/>
                <w:sz w:val="21"/>
                <w:szCs w:val="21"/>
              </w:rPr>
            </w:pPr>
          </w:p>
        </w:tc>
        <w:tc>
          <w:tcPr>
            <w:tcW w:w="772" w:type="dxa"/>
            <w:vAlign w:val="center"/>
          </w:tcPr>
          <w:p>
            <w:pPr>
              <w:pStyle w:val="9"/>
              <w:spacing w:line="240" w:lineRule="exact"/>
              <w:jc w:val="center"/>
              <w:rPr>
                <w:rFonts w:ascii="Times New Roman" w:hAnsi="Times New Roman"/>
                <w:sz w:val="21"/>
                <w:szCs w:val="21"/>
              </w:rPr>
            </w:pPr>
            <w:r>
              <w:rPr>
                <w:rFonts w:ascii="Times New Roman" w:hAnsi="Times New Roman"/>
                <w:sz w:val="21"/>
                <w:szCs w:val="21"/>
              </w:rPr>
              <w:t>5</w:t>
            </w:r>
          </w:p>
        </w:tc>
        <w:tc>
          <w:tcPr>
            <w:tcW w:w="5774" w:type="dxa"/>
            <w:gridSpan w:val="2"/>
            <w:vAlign w:val="center"/>
          </w:tcPr>
          <w:p>
            <w:pPr>
              <w:pStyle w:val="9"/>
              <w:spacing w:line="240" w:lineRule="exact"/>
              <w:jc w:val="center"/>
              <w:rPr>
                <w:rFonts w:ascii="Times New Roman" w:hAnsi="Times New Roman"/>
                <w:sz w:val="21"/>
                <w:szCs w:val="21"/>
              </w:rPr>
            </w:pPr>
            <w:r>
              <w:rPr>
                <w:rFonts w:ascii="Times New Roman" w:hAnsi="Times New Roman"/>
                <w:sz w:val="21"/>
                <w:szCs w:val="21"/>
              </w:rPr>
              <w:t>无光感</w:t>
            </w:r>
          </w:p>
        </w:tc>
      </w:tr>
    </w:tbl>
    <w:p>
      <w:pPr>
        <w:pStyle w:val="9"/>
        <w:spacing w:line="280" w:lineRule="exact"/>
        <w:ind w:firstLine="420" w:firstLineChars="200"/>
        <w:rPr>
          <w:rFonts w:ascii="Times New Roman" w:hAnsi="Times New Roman"/>
          <w:sz w:val="21"/>
          <w:szCs w:val="21"/>
        </w:rPr>
      </w:pPr>
      <w:r>
        <w:rPr>
          <w:rFonts w:ascii="Times New Roman" w:hAnsi="Times New Roman"/>
          <w:sz w:val="21"/>
          <w:szCs w:val="21"/>
        </w:rPr>
        <w:t>如果中心视力好而视野缩小，以中央注视点为中心，视野直径小于20°而大于10°者为盲目3级；如直径小于10°者为盲目4级。</w:t>
      </w:r>
    </w:p>
    <w:p>
      <w:pPr>
        <w:pStyle w:val="9"/>
        <w:spacing w:line="280" w:lineRule="exact"/>
        <w:ind w:firstLine="360"/>
        <w:rPr>
          <w:rFonts w:ascii="Times New Roman" w:hAnsi="Times New Roman"/>
          <w:sz w:val="21"/>
          <w:szCs w:val="21"/>
        </w:rPr>
      </w:pPr>
      <w:r>
        <w:rPr>
          <w:rFonts w:ascii="Times New Roman" w:hAnsi="Times New Roman"/>
          <w:sz w:val="21"/>
          <w:szCs w:val="21"/>
        </w:rPr>
        <w:t>本标准视力以矫正视力为准，经治疗而无法恢复者。</w:t>
      </w:r>
    </w:p>
    <w:p>
      <w:pPr>
        <w:pStyle w:val="9"/>
        <w:spacing w:line="280" w:lineRule="exact"/>
        <w:ind w:firstLine="420" w:firstLineChars="200"/>
        <w:rPr>
          <w:rFonts w:ascii="Times New Roman" w:hAnsi="Times New Roman"/>
          <w:sz w:val="21"/>
          <w:szCs w:val="21"/>
        </w:rPr>
      </w:pPr>
      <w:r>
        <w:rPr>
          <w:rFonts w:ascii="Times New Roman" w:hAnsi="Times New Roman"/>
          <w:sz w:val="21"/>
          <w:szCs w:val="21"/>
        </w:rPr>
        <w:t>②视野缺损指因损伤导致眼球注视前方而不转动所能看到的空间范围缩窄，以致难以从事正常工作、学习或其他活动。</w:t>
      </w:r>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7" w:name="_Toc356463470"/>
      <w:r>
        <w:rPr>
          <w:rFonts w:ascii="Times New Roman"/>
          <w:sz w:val="21"/>
          <w:szCs w:val="21"/>
        </w:rPr>
        <w:t>眼球的晶状体结构损伤</w:t>
      </w:r>
      <w:bookmarkEnd w:id="7"/>
      <w:r>
        <w:rPr>
          <w:rFonts w:ascii="Times New Roman"/>
          <w:sz w:val="21"/>
          <w:szCs w:val="21"/>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9" w:type="dxa"/>
            <w:vAlign w:val="center"/>
          </w:tcPr>
          <w:p>
            <w:pPr>
              <w:pStyle w:val="10"/>
              <w:spacing w:line="240" w:lineRule="exact"/>
              <w:rPr>
                <w:rFonts w:ascii="Times New Roman" w:hAnsi="Times New Roman"/>
                <w:sz w:val="21"/>
                <w:szCs w:val="21"/>
              </w:rPr>
            </w:pPr>
            <w:r>
              <w:rPr>
                <w:rFonts w:ascii="Times New Roman" w:hAnsi="Times New Roman"/>
                <w:sz w:val="21"/>
                <w:szCs w:val="21"/>
              </w:rPr>
              <w:t>外伤性白内障</w:t>
            </w:r>
          </w:p>
        </w:tc>
        <w:tc>
          <w:tcPr>
            <w:tcW w:w="1443"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9"/>
        <w:spacing w:beforeLines="50" w:line="280" w:lineRule="exact"/>
        <w:rPr>
          <w:rFonts w:ascii="Times New Roman" w:hAnsi="Times New Roman"/>
          <w:sz w:val="21"/>
          <w:szCs w:val="21"/>
        </w:rPr>
      </w:pPr>
      <w:r>
        <w:rPr>
          <w:rFonts w:ascii="Times New Roman" w:hAnsi="Times New Roman"/>
          <w:sz w:val="21"/>
          <w:szCs w:val="21"/>
        </w:rPr>
        <w:t>注：外伤性白内障：凡未做手术者，均适用本条；外伤性白内障术后遗留相关视功能障碍，参照有关条款评定伤残等级。</w:t>
      </w:r>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8" w:name="_Toc356463471"/>
      <w:r>
        <w:rPr>
          <w:rFonts w:ascii="Times New Roman"/>
          <w:sz w:val="21"/>
          <w:szCs w:val="21"/>
        </w:rPr>
        <w:t>眼睑结构损伤</w:t>
      </w:r>
      <w:bookmarkEnd w:id="8"/>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54" w:type="dxa"/>
            <w:vAlign w:val="center"/>
          </w:tcPr>
          <w:p>
            <w:pPr>
              <w:pStyle w:val="10"/>
              <w:spacing w:line="240" w:lineRule="exact"/>
              <w:rPr>
                <w:rFonts w:ascii="Times New Roman" w:hAnsi="Times New Roman"/>
                <w:sz w:val="21"/>
                <w:szCs w:val="21"/>
              </w:rPr>
            </w:pPr>
            <w:bookmarkStart w:id="9" w:name="OLE_LINK7"/>
            <w:bookmarkStart w:id="10" w:name="OLE_LINK8"/>
            <w:r>
              <w:rPr>
                <w:rFonts w:ascii="Times New Roman" w:hAnsi="Times New Roman"/>
                <w:sz w:val="21"/>
                <w:szCs w:val="21"/>
              </w:rPr>
              <w:t>双侧眼睑显著缺损</w:t>
            </w:r>
            <w:bookmarkEnd w:id="9"/>
            <w:bookmarkEnd w:id="10"/>
          </w:p>
        </w:tc>
        <w:tc>
          <w:tcPr>
            <w:tcW w:w="141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54" w:type="dxa"/>
            <w:vAlign w:val="center"/>
          </w:tcPr>
          <w:p>
            <w:pPr>
              <w:pStyle w:val="10"/>
              <w:spacing w:line="240" w:lineRule="exact"/>
              <w:rPr>
                <w:rFonts w:ascii="Times New Roman" w:hAnsi="Times New Roman"/>
                <w:sz w:val="21"/>
                <w:szCs w:val="21"/>
              </w:rPr>
            </w:pPr>
            <w:r>
              <w:rPr>
                <w:rFonts w:ascii="Times New Roman" w:hAnsi="Times New Roman"/>
                <w:sz w:val="21"/>
                <w:szCs w:val="21"/>
              </w:rPr>
              <w:t>双侧眼睑外翻</w:t>
            </w:r>
          </w:p>
        </w:tc>
        <w:tc>
          <w:tcPr>
            <w:tcW w:w="141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54" w:type="dxa"/>
            <w:vAlign w:val="center"/>
          </w:tcPr>
          <w:p>
            <w:pPr>
              <w:pStyle w:val="10"/>
              <w:spacing w:line="240" w:lineRule="exact"/>
              <w:rPr>
                <w:rFonts w:ascii="Times New Roman" w:hAnsi="Times New Roman"/>
                <w:sz w:val="21"/>
                <w:szCs w:val="21"/>
              </w:rPr>
            </w:pPr>
            <w:r>
              <w:rPr>
                <w:rFonts w:ascii="Times New Roman" w:hAnsi="Times New Roman"/>
                <w:sz w:val="21"/>
                <w:szCs w:val="21"/>
              </w:rPr>
              <w:t>双侧眼睑闭合不全</w:t>
            </w:r>
          </w:p>
        </w:tc>
        <w:tc>
          <w:tcPr>
            <w:tcW w:w="141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54"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一侧眼睑显著缺损</w:t>
            </w:r>
          </w:p>
        </w:tc>
        <w:tc>
          <w:tcPr>
            <w:tcW w:w="141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54"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一侧眼睑外翻</w:t>
            </w:r>
          </w:p>
        </w:tc>
        <w:tc>
          <w:tcPr>
            <w:tcW w:w="141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54" w:type="dxa"/>
            <w:vAlign w:val="center"/>
          </w:tcPr>
          <w:p>
            <w:pPr>
              <w:pStyle w:val="10"/>
              <w:spacing w:line="240" w:lineRule="exact"/>
              <w:rPr>
                <w:rFonts w:ascii="Times New Roman" w:hAnsi="Times New Roman"/>
                <w:sz w:val="21"/>
                <w:szCs w:val="21"/>
              </w:rPr>
            </w:pPr>
            <w:r>
              <w:rPr>
                <w:rFonts w:ascii="Times New Roman" w:hAnsi="Times New Roman"/>
                <w:sz w:val="21"/>
                <w:szCs w:val="21"/>
              </w:rPr>
              <w:t>一侧眼睑闭合不全</w:t>
            </w:r>
          </w:p>
        </w:tc>
        <w:tc>
          <w:tcPr>
            <w:tcW w:w="141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注：眼睑显著缺损指闭眼时眼睑不能完全覆盖角膜。</w:t>
      </w:r>
    </w:p>
    <w:p>
      <w:pPr>
        <w:pStyle w:val="4"/>
        <w:keepNext w:val="0"/>
        <w:keepLines w:val="0"/>
        <w:widowControl/>
        <w:numPr>
          <w:ilvl w:val="1"/>
          <w:numId w:val="1"/>
        </w:numPr>
        <w:autoSpaceDE/>
        <w:autoSpaceDN/>
        <w:snapToGrid/>
        <w:spacing w:beforeLines="30" w:after="0" w:line="320" w:lineRule="exact"/>
        <w:ind w:left="0" w:firstLine="0"/>
        <w:contextualSpacing/>
        <w:jc w:val="left"/>
        <w:rPr>
          <w:rFonts w:ascii="Times New Roman"/>
          <w:sz w:val="21"/>
          <w:szCs w:val="21"/>
        </w:rPr>
      </w:pPr>
      <w:bookmarkStart w:id="11" w:name="_Toc356463472"/>
      <w:r>
        <w:rPr>
          <w:rFonts w:ascii="Times New Roman"/>
          <w:sz w:val="21"/>
          <w:szCs w:val="21"/>
        </w:rPr>
        <w:t>耳廓结构损伤或听功能障碍</w:t>
      </w:r>
      <w:bookmarkEnd w:id="11"/>
    </w:p>
    <w:p>
      <w:pPr>
        <w:pStyle w:val="9"/>
        <w:spacing w:beforeLines="50" w:line="280" w:lineRule="exact"/>
        <w:rPr>
          <w:rFonts w:ascii="Times New Roman" w:hAnsi="Times New Roman"/>
          <w:sz w:val="21"/>
          <w:szCs w:val="21"/>
        </w:rPr>
      </w:pPr>
      <w:r>
        <w:rPr>
          <w:rFonts w:ascii="Times New Roman" w:hAnsi="Times New Roman"/>
          <w:sz w:val="21"/>
          <w:szCs w:val="21"/>
        </w:rPr>
        <w:t>听功能是指与感受存在的声音和辨别方位、音调、音量和音质有关的感觉功能。</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9"/>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bookmarkStart w:id="12" w:name="OLE_LINK10"/>
            <w:bookmarkStart w:id="13" w:name="OLE_LINK9"/>
            <w:r>
              <w:rPr>
                <w:rFonts w:ascii="Times New Roman" w:hAnsi="Times New Roman"/>
                <w:sz w:val="21"/>
                <w:szCs w:val="21"/>
              </w:rPr>
              <w:t>双耳听力损失大于等于91dB，且双侧耳廓缺失</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双耳听力损失大于等于91dB，且一侧耳廓缺失</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一耳听力损失大于等于91dB，另一耳听力损失大于等于71dB，且一侧耳廓缺失，另一侧耳廓缺失大于等于50%</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双耳听力损失大于等于71dB，且双侧耳廓缺失</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双耳听力损失大于等于71dB，且一侧耳廓缺失</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双耳听力损失大于等于56dB，且双侧耳廓缺失</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一耳听力损失大于等于91dB，另一耳听力损失大于等于71dB，且一侧耳廓缺失大于等于50%</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双耳听力损失大于等于71dB，且一侧耳廓缺失大于等于50%</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双耳听力损失大于等于56dB，且一侧耳廓缺失</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双侧耳廓缺失</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一侧耳廓缺失，且另一侧耳廓缺失大于等于50%</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一侧耳廓缺失</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9" w:type="dxa"/>
            <w:vAlign w:val="center"/>
          </w:tcPr>
          <w:p>
            <w:pPr>
              <w:pStyle w:val="10"/>
              <w:spacing w:line="240" w:lineRule="exact"/>
              <w:rPr>
                <w:rFonts w:ascii="Times New Roman" w:hAnsi="Times New Roman"/>
                <w:sz w:val="21"/>
                <w:szCs w:val="21"/>
              </w:rPr>
            </w:pPr>
            <w:r>
              <w:rPr>
                <w:rFonts w:ascii="Times New Roman" w:hAnsi="Times New Roman"/>
                <w:sz w:val="21"/>
                <w:szCs w:val="21"/>
              </w:rPr>
              <w:t>一侧耳廓缺失大于等于50%</w:t>
            </w:r>
          </w:p>
        </w:tc>
        <w:tc>
          <w:tcPr>
            <w:tcW w:w="149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bookmarkEnd w:id="12"/>
      <w:bookmarkEnd w:id="13"/>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14" w:name="_Toc356463473"/>
      <w:r>
        <w:rPr>
          <w:rFonts w:ascii="Times New Roman"/>
          <w:sz w:val="21"/>
          <w:szCs w:val="21"/>
        </w:rPr>
        <w:t>听功能障碍</w:t>
      </w:r>
      <w:bookmarkEnd w:id="14"/>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bookmarkStart w:id="15" w:name="OLE_LINK6"/>
            <w:bookmarkStart w:id="16" w:name="OLE_LINK5"/>
            <w:r>
              <w:rPr>
                <w:rFonts w:ascii="Times New Roman" w:hAnsi="Times New Roman"/>
                <w:sz w:val="21"/>
                <w:szCs w:val="21"/>
              </w:rPr>
              <w:t>双耳听力损失大于等于91dB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双耳听力损失大于等于81dB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一耳听力损失大于等于91dB，且另一耳听力损失大于等于71dB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双耳听力损失大于等于71dB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一耳听力损失大于等于91dB，且另一耳听力损失大于等于56dB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一耳听力损失大于等于91dB，且另一耳听力损失大于等于41dB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一耳听力损失大于等于71dB，且另一耳听力损失大于等于56dB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一耳听力损失大于等于71dB，且另一耳听力损失大于等于41dB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一耳听力损失大于等于91dB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 xml:space="preserve">一耳听力损失大于等于56dB，且另一耳听力损失大于等于41dB </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一耳听力损失大于等于71dB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双耳听力损失大于等于26dB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0" w:type="dxa"/>
            <w:vAlign w:val="center"/>
          </w:tcPr>
          <w:p>
            <w:pPr>
              <w:pStyle w:val="10"/>
              <w:spacing w:line="240" w:lineRule="exact"/>
              <w:rPr>
                <w:rFonts w:ascii="Times New Roman" w:hAnsi="Times New Roman"/>
                <w:sz w:val="21"/>
                <w:szCs w:val="21"/>
              </w:rPr>
            </w:pPr>
            <w:r>
              <w:rPr>
                <w:rFonts w:ascii="Times New Roman" w:hAnsi="Times New Roman"/>
                <w:sz w:val="21"/>
                <w:szCs w:val="21"/>
              </w:rPr>
              <w:t>一耳听力损失大于等于56dB</w:t>
            </w:r>
          </w:p>
        </w:tc>
        <w:tc>
          <w:tcPr>
            <w:tcW w:w="128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bookmarkEnd w:id="15"/>
      <w:bookmarkEnd w:id="16"/>
    </w:tbl>
    <w:p>
      <w:pPr>
        <w:spacing w:line="240" w:lineRule="exact"/>
        <w:ind w:firstLine="640" w:firstLineChars="200"/>
        <w:contextualSpacing/>
        <w:rPr>
          <w:rFonts w:ascii="Times New Roman"/>
          <w:szCs w:val="21"/>
        </w:rPr>
      </w:pPr>
    </w:p>
    <w:p>
      <w:pPr>
        <w:pStyle w:val="3"/>
        <w:keepNext w:val="0"/>
        <w:keepLines w:val="0"/>
        <w:widowControl/>
        <w:numPr>
          <w:ilvl w:val="0"/>
          <w:numId w:val="1"/>
        </w:numPr>
        <w:autoSpaceDE/>
        <w:autoSpaceDN/>
        <w:snapToGrid/>
        <w:spacing w:before="0" w:after="0" w:line="240" w:lineRule="auto"/>
        <w:contextualSpacing/>
        <w:jc w:val="left"/>
        <w:rPr>
          <w:rFonts w:ascii="Times New Roman" w:hAnsi="Times New Roman" w:cs="Times New Roman"/>
          <w:sz w:val="21"/>
          <w:szCs w:val="21"/>
        </w:rPr>
      </w:pPr>
      <w:bookmarkStart w:id="17" w:name="_Toc356463474"/>
      <w:r>
        <w:rPr>
          <w:rFonts w:ascii="Times New Roman" w:hAnsi="Times New Roman" w:cs="Times New Roman"/>
          <w:sz w:val="21"/>
          <w:szCs w:val="21"/>
        </w:rPr>
        <w:t>发声和言语的结构和功能</w:t>
      </w:r>
      <w:bookmarkEnd w:id="17"/>
    </w:p>
    <w:p>
      <w:pPr>
        <w:pStyle w:val="4"/>
        <w:keepNext w:val="0"/>
        <w:keepLines w:val="0"/>
        <w:widowControl/>
        <w:numPr>
          <w:ilvl w:val="1"/>
          <w:numId w:val="1"/>
        </w:numPr>
        <w:autoSpaceDE/>
        <w:autoSpaceDN/>
        <w:snapToGrid/>
        <w:spacing w:before="0" w:afterLines="30" w:line="240" w:lineRule="auto"/>
        <w:ind w:left="0" w:firstLine="0"/>
        <w:contextualSpacing/>
        <w:jc w:val="left"/>
        <w:rPr>
          <w:rFonts w:ascii="Times New Roman"/>
          <w:sz w:val="21"/>
          <w:szCs w:val="21"/>
        </w:rPr>
      </w:pPr>
      <w:bookmarkStart w:id="18" w:name="_Toc356463475"/>
      <w:r>
        <w:rPr>
          <w:rFonts w:ascii="Times New Roman"/>
          <w:sz w:val="21"/>
          <w:szCs w:val="21"/>
        </w:rPr>
        <w:t>鼻的结构损伤</w:t>
      </w:r>
      <w:bookmarkEnd w:id="18"/>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2" w:type="dxa"/>
            <w:vAlign w:val="center"/>
          </w:tcPr>
          <w:p>
            <w:pPr>
              <w:pStyle w:val="10"/>
              <w:spacing w:line="240" w:lineRule="exact"/>
              <w:rPr>
                <w:rFonts w:ascii="Times New Roman" w:hAnsi="Times New Roman"/>
                <w:sz w:val="21"/>
                <w:szCs w:val="21"/>
              </w:rPr>
            </w:pPr>
            <w:r>
              <w:rPr>
                <w:rFonts w:ascii="Times New Roman" w:hAnsi="Times New Roman"/>
                <w:sz w:val="21"/>
                <w:szCs w:val="21"/>
              </w:rPr>
              <w:t>外鼻部完全缺失</w:t>
            </w:r>
          </w:p>
        </w:tc>
        <w:tc>
          <w:tcPr>
            <w:tcW w:w="1279"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2" w:type="dxa"/>
            <w:vAlign w:val="center"/>
          </w:tcPr>
          <w:p>
            <w:pPr>
              <w:pStyle w:val="10"/>
              <w:spacing w:line="240" w:lineRule="exact"/>
              <w:rPr>
                <w:rFonts w:ascii="Times New Roman" w:hAnsi="Times New Roman"/>
                <w:sz w:val="21"/>
                <w:szCs w:val="21"/>
              </w:rPr>
            </w:pPr>
            <w:r>
              <w:rPr>
                <w:rFonts w:ascii="Times New Roman" w:hAnsi="Times New Roman"/>
                <w:sz w:val="21"/>
                <w:szCs w:val="21"/>
              </w:rPr>
              <w:t>外鼻部大部分缺损</w:t>
            </w:r>
          </w:p>
        </w:tc>
        <w:tc>
          <w:tcPr>
            <w:tcW w:w="1279"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2" w:type="dxa"/>
            <w:vAlign w:val="center"/>
          </w:tcPr>
          <w:p>
            <w:pPr>
              <w:pStyle w:val="10"/>
              <w:spacing w:line="240" w:lineRule="exact"/>
              <w:rPr>
                <w:rFonts w:ascii="Times New Roman" w:hAnsi="Times New Roman"/>
                <w:sz w:val="21"/>
                <w:szCs w:val="21"/>
              </w:rPr>
            </w:pPr>
            <w:r>
              <w:rPr>
                <w:rFonts w:ascii="Times New Roman" w:hAnsi="Times New Roman"/>
                <w:sz w:val="21"/>
                <w:szCs w:val="21"/>
              </w:rPr>
              <w:t>鼻尖及一侧鼻翼缺损</w:t>
            </w:r>
          </w:p>
        </w:tc>
        <w:tc>
          <w:tcPr>
            <w:tcW w:w="1279"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2" w:type="dxa"/>
            <w:vAlign w:val="center"/>
          </w:tcPr>
          <w:p>
            <w:pPr>
              <w:pStyle w:val="10"/>
              <w:spacing w:line="240" w:lineRule="exact"/>
              <w:rPr>
                <w:rFonts w:ascii="Times New Roman" w:hAnsi="Times New Roman"/>
                <w:sz w:val="21"/>
                <w:szCs w:val="21"/>
              </w:rPr>
            </w:pPr>
            <w:r>
              <w:rPr>
                <w:rFonts w:ascii="Times New Roman" w:hAnsi="Times New Roman"/>
                <w:sz w:val="21"/>
                <w:szCs w:val="21"/>
              </w:rPr>
              <w:t>双侧鼻腔或鼻咽部闭锁</w:t>
            </w:r>
          </w:p>
        </w:tc>
        <w:tc>
          <w:tcPr>
            <w:tcW w:w="1279"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2" w:type="dxa"/>
            <w:vAlign w:val="center"/>
          </w:tcPr>
          <w:p>
            <w:pPr>
              <w:pStyle w:val="10"/>
              <w:spacing w:line="240" w:lineRule="exact"/>
              <w:rPr>
                <w:rFonts w:ascii="Times New Roman" w:hAnsi="Times New Roman"/>
                <w:sz w:val="21"/>
                <w:szCs w:val="21"/>
              </w:rPr>
            </w:pPr>
            <w:r>
              <w:rPr>
                <w:rFonts w:ascii="Times New Roman" w:hAnsi="Times New Roman"/>
                <w:sz w:val="21"/>
                <w:szCs w:val="21"/>
              </w:rPr>
              <w:t>一侧鼻翼缺损</w:t>
            </w:r>
          </w:p>
        </w:tc>
        <w:tc>
          <w:tcPr>
            <w:tcW w:w="1279"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2" w:type="dxa"/>
            <w:vAlign w:val="center"/>
          </w:tcPr>
          <w:p>
            <w:pPr>
              <w:pStyle w:val="10"/>
              <w:spacing w:line="240" w:lineRule="exact"/>
              <w:rPr>
                <w:rFonts w:ascii="Times New Roman" w:hAnsi="Times New Roman"/>
                <w:sz w:val="21"/>
                <w:szCs w:val="21"/>
              </w:rPr>
            </w:pPr>
            <w:r>
              <w:rPr>
                <w:rFonts w:ascii="Times New Roman" w:hAnsi="Times New Roman"/>
                <w:sz w:val="21"/>
                <w:szCs w:val="21"/>
              </w:rPr>
              <w:t>单侧鼻腔或鼻孔闭锁</w:t>
            </w:r>
          </w:p>
        </w:tc>
        <w:tc>
          <w:tcPr>
            <w:tcW w:w="1279"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10级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19" w:name="_Toc356463476"/>
      <w:r>
        <w:rPr>
          <w:rFonts w:ascii="Times New Roman"/>
          <w:sz w:val="21"/>
          <w:szCs w:val="21"/>
        </w:rPr>
        <w:t>口腔的结构损伤</w:t>
      </w:r>
      <w:bookmarkEnd w:id="19"/>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6"/>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6" w:type="dxa"/>
            <w:vAlign w:val="center"/>
          </w:tcPr>
          <w:p>
            <w:pPr>
              <w:pStyle w:val="10"/>
              <w:spacing w:line="240" w:lineRule="exact"/>
              <w:rPr>
                <w:rFonts w:ascii="Times New Roman" w:hAnsi="Times New Roman"/>
                <w:sz w:val="21"/>
                <w:szCs w:val="21"/>
              </w:rPr>
            </w:pPr>
            <w:r>
              <w:rPr>
                <w:rFonts w:ascii="Times New Roman" w:hAnsi="Times New Roman"/>
                <w:sz w:val="21"/>
                <w:szCs w:val="21"/>
              </w:rPr>
              <w:t>舌缺损大于全舌的2/3</w:t>
            </w:r>
          </w:p>
        </w:tc>
        <w:tc>
          <w:tcPr>
            <w:tcW w:w="1302"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3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6" w:type="dxa"/>
            <w:vAlign w:val="center"/>
          </w:tcPr>
          <w:p>
            <w:pPr>
              <w:pStyle w:val="10"/>
              <w:spacing w:line="240" w:lineRule="exact"/>
              <w:rPr>
                <w:rFonts w:ascii="Times New Roman" w:hAnsi="Times New Roman"/>
                <w:sz w:val="21"/>
                <w:szCs w:val="21"/>
              </w:rPr>
            </w:pPr>
            <w:r>
              <w:rPr>
                <w:rFonts w:ascii="Times New Roman" w:hAnsi="Times New Roman"/>
                <w:sz w:val="21"/>
                <w:szCs w:val="21"/>
              </w:rPr>
              <w:t>舌缺损大于全舌的1/3</w:t>
            </w:r>
          </w:p>
        </w:tc>
        <w:tc>
          <w:tcPr>
            <w:tcW w:w="1302"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6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6" w:type="dxa"/>
            <w:vAlign w:val="center"/>
          </w:tcPr>
          <w:p>
            <w:pPr>
              <w:pStyle w:val="10"/>
              <w:spacing w:line="240" w:lineRule="exact"/>
              <w:rPr>
                <w:rFonts w:ascii="Times New Roman" w:hAnsi="Times New Roman"/>
                <w:sz w:val="21"/>
                <w:szCs w:val="21"/>
              </w:rPr>
            </w:pPr>
            <w:r>
              <w:rPr>
                <w:rFonts w:ascii="Times New Roman" w:hAnsi="Times New Roman"/>
                <w:sz w:val="21"/>
                <w:szCs w:val="21"/>
              </w:rPr>
              <w:t>口腔损伤导致牙齿脱落大于等于16枚</w:t>
            </w:r>
          </w:p>
        </w:tc>
        <w:tc>
          <w:tcPr>
            <w:tcW w:w="1302"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16" w:type="dxa"/>
            <w:vAlign w:val="center"/>
          </w:tcPr>
          <w:p>
            <w:pPr>
              <w:pStyle w:val="10"/>
              <w:spacing w:line="240" w:lineRule="exact"/>
              <w:rPr>
                <w:rFonts w:ascii="Times New Roman" w:hAnsi="Times New Roman"/>
                <w:sz w:val="21"/>
                <w:szCs w:val="21"/>
              </w:rPr>
            </w:pPr>
            <w:r>
              <w:rPr>
                <w:rFonts w:ascii="Times New Roman" w:hAnsi="Times New Roman"/>
                <w:sz w:val="21"/>
                <w:szCs w:val="21"/>
              </w:rPr>
              <w:t>口腔损伤导致牙齿脱落大于等于8枚</w:t>
            </w:r>
          </w:p>
        </w:tc>
        <w:tc>
          <w:tcPr>
            <w:tcW w:w="1302"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10级</w:t>
            </w:r>
          </w:p>
        </w:tc>
      </w:tr>
    </w:tbl>
    <w:p>
      <w:pPr>
        <w:pStyle w:val="4"/>
        <w:keepNext w:val="0"/>
        <w:keepLines w:val="0"/>
        <w:widowControl/>
        <w:numPr>
          <w:ilvl w:val="1"/>
          <w:numId w:val="1"/>
        </w:numPr>
        <w:autoSpaceDE/>
        <w:autoSpaceDN/>
        <w:snapToGrid/>
        <w:spacing w:beforeLines="30" w:after="0" w:line="240" w:lineRule="auto"/>
        <w:ind w:left="0" w:firstLine="0"/>
        <w:contextualSpacing/>
        <w:jc w:val="left"/>
        <w:rPr>
          <w:rFonts w:ascii="Times New Roman"/>
          <w:sz w:val="21"/>
          <w:szCs w:val="21"/>
        </w:rPr>
      </w:pPr>
      <w:bookmarkStart w:id="20" w:name="_Toc356463477"/>
      <w:r>
        <w:rPr>
          <w:rFonts w:ascii="Times New Roman"/>
          <w:sz w:val="21"/>
          <w:szCs w:val="21"/>
        </w:rPr>
        <w:t>发声和言语的功能障碍</w:t>
      </w:r>
      <w:bookmarkEnd w:id="20"/>
    </w:p>
    <w:p>
      <w:pPr>
        <w:pStyle w:val="9"/>
        <w:spacing w:beforeLines="50" w:line="280" w:lineRule="exact"/>
        <w:rPr>
          <w:rFonts w:ascii="Times New Roman" w:hAnsi="Times New Roman"/>
          <w:sz w:val="21"/>
          <w:szCs w:val="21"/>
        </w:rPr>
      </w:pPr>
      <w:r>
        <w:rPr>
          <w:rFonts w:ascii="Times New Roman" w:hAnsi="Times New Roman"/>
          <w:sz w:val="21"/>
          <w:szCs w:val="21"/>
        </w:rPr>
        <w:t>本标准中的发声和言语的功能障碍是指语言功能丧失。</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30" w:type="dxa"/>
            <w:vAlign w:val="center"/>
          </w:tcPr>
          <w:p>
            <w:pPr>
              <w:pStyle w:val="10"/>
              <w:spacing w:line="240" w:lineRule="exact"/>
              <w:rPr>
                <w:rFonts w:ascii="Times New Roman" w:hAnsi="Times New Roman"/>
                <w:sz w:val="21"/>
                <w:szCs w:val="21"/>
              </w:rPr>
            </w:pPr>
            <w:r>
              <w:rPr>
                <w:rFonts w:ascii="Times New Roman" w:hAnsi="Times New Roman"/>
                <w:sz w:val="21"/>
                <w:szCs w:val="21"/>
              </w:rPr>
              <w:t>语言功能完全丧失</w:t>
            </w:r>
          </w:p>
        </w:tc>
        <w:tc>
          <w:tcPr>
            <w:tcW w:w="1160"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pPr>
        <w:spacing w:line="240" w:lineRule="exact"/>
        <w:ind w:firstLine="640" w:firstLineChars="200"/>
        <w:contextualSpacing/>
        <w:rPr>
          <w:rFonts w:ascii="Times New Roman"/>
          <w:szCs w:val="21"/>
        </w:rPr>
      </w:pPr>
    </w:p>
    <w:p>
      <w:pPr>
        <w:pStyle w:val="3"/>
        <w:keepNext w:val="0"/>
        <w:keepLines w:val="0"/>
        <w:widowControl/>
        <w:numPr>
          <w:ilvl w:val="0"/>
          <w:numId w:val="1"/>
        </w:numPr>
        <w:autoSpaceDE/>
        <w:autoSpaceDN/>
        <w:snapToGrid/>
        <w:spacing w:before="0" w:after="0" w:line="240" w:lineRule="auto"/>
        <w:contextualSpacing/>
        <w:jc w:val="left"/>
        <w:rPr>
          <w:rFonts w:ascii="Times New Roman" w:hAnsi="Times New Roman" w:cs="Times New Roman"/>
          <w:sz w:val="21"/>
          <w:szCs w:val="21"/>
        </w:rPr>
      </w:pPr>
      <w:bookmarkStart w:id="21" w:name="_Toc349826914"/>
      <w:bookmarkEnd w:id="21"/>
      <w:bookmarkStart w:id="22" w:name="_Toc349826758"/>
      <w:bookmarkEnd w:id="22"/>
      <w:bookmarkStart w:id="23" w:name="_Toc349832693"/>
      <w:bookmarkEnd w:id="23"/>
      <w:bookmarkStart w:id="24" w:name="_Toc349833744"/>
      <w:bookmarkEnd w:id="24"/>
      <w:bookmarkStart w:id="25" w:name="_Toc349833743"/>
      <w:bookmarkEnd w:id="25"/>
      <w:bookmarkStart w:id="26" w:name="_Toc349826915"/>
      <w:bookmarkEnd w:id="26"/>
      <w:bookmarkStart w:id="27" w:name="_Toc349832692"/>
      <w:bookmarkEnd w:id="27"/>
      <w:bookmarkStart w:id="28" w:name="_Toc349833347"/>
      <w:bookmarkEnd w:id="28"/>
      <w:bookmarkStart w:id="29" w:name="_Toc349826759"/>
      <w:bookmarkEnd w:id="29"/>
      <w:bookmarkStart w:id="30" w:name="_Toc349833348"/>
      <w:bookmarkEnd w:id="30"/>
      <w:bookmarkStart w:id="31" w:name="_Toc356463478"/>
      <w:r>
        <w:rPr>
          <w:rFonts w:ascii="Times New Roman" w:hAnsi="Times New Roman" w:cs="Times New Roman"/>
          <w:sz w:val="21"/>
          <w:szCs w:val="21"/>
        </w:rPr>
        <w:t>心血管，免疫和呼吸系统的结构和功能</w:t>
      </w:r>
      <w:bookmarkEnd w:id="31"/>
    </w:p>
    <w:p>
      <w:pPr>
        <w:pStyle w:val="4"/>
        <w:keepNext w:val="0"/>
        <w:keepLines w:val="0"/>
        <w:widowControl/>
        <w:numPr>
          <w:ilvl w:val="1"/>
          <w:numId w:val="1"/>
        </w:numPr>
        <w:autoSpaceDE/>
        <w:autoSpaceDN/>
        <w:snapToGrid/>
        <w:spacing w:before="0" w:afterLines="30" w:line="240" w:lineRule="auto"/>
        <w:ind w:left="0" w:firstLine="0"/>
        <w:contextualSpacing/>
        <w:jc w:val="left"/>
        <w:rPr>
          <w:rFonts w:ascii="Times New Roman"/>
          <w:sz w:val="21"/>
          <w:szCs w:val="21"/>
        </w:rPr>
      </w:pPr>
      <w:bookmarkStart w:id="32" w:name="_Toc356463479"/>
      <w:bookmarkStart w:id="33" w:name="_Toc350932575"/>
      <w:r>
        <w:rPr>
          <w:rFonts w:ascii="Times New Roman"/>
          <w:sz w:val="21"/>
          <w:szCs w:val="21"/>
        </w:rPr>
        <w:t>心脏的结构损伤或功能障碍</w:t>
      </w:r>
      <w:bookmarkEnd w:id="32"/>
      <w:bookmarkEnd w:id="33"/>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胸部损伤导致心肺联合移植</w:t>
            </w:r>
          </w:p>
        </w:tc>
        <w:tc>
          <w:tcPr>
            <w:tcW w:w="1258"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胸部损伤导致心脏贯通伤修补术后，心电图有明显改变</w:t>
            </w:r>
          </w:p>
        </w:tc>
        <w:tc>
          <w:tcPr>
            <w:tcW w:w="1258"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胸部损伤导致心肌破裂修补</w:t>
            </w:r>
          </w:p>
        </w:tc>
        <w:tc>
          <w:tcPr>
            <w:tcW w:w="1258"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34" w:name="_Toc356463480"/>
      <w:r>
        <w:rPr>
          <w:rFonts w:ascii="Times New Roman"/>
          <w:sz w:val="21"/>
          <w:szCs w:val="21"/>
        </w:rPr>
        <w:t>脾结构损伤</w:t>
      </w:r>
      <w:bookmarkEnd w:id="34"/>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腹部损伤导致脾切除</w:t>
            </w:r>
          </w:p>
        </w:tc>
        <w:tc>
          <w:tcPr>
            <w:tcW w:w="1288"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腹部损伤导致脾部分切除</w:t>
            </w:r>
          </w:p>
        </w:tc>
        <w:tc>
          <w:tcPr>
            <w:tcW w:w="1288"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腹部损伤导致脾破裂修补</w:t>
            </w:r>
          </w:p>
        </w:tc>
        <w:tc>
          <w:tcPr>
            <w:tcW w:w="1288"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10级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35" w:name="_Toc356463481"/>
      <w:r>
        <w:rPr>
          <w:rFonts w:ascii="Times New Roman"/>
          <w:sz w:val="21"/>
          <w:szCs w:val="21"/>
        </w:rPr>
        <w:t>肺的结构损伤</w:t>
      </w:r>
      <w:bookmarkEnd w:id="35"/>
    </w:p>
    <w:tbl>
      <w:tblPr>
        <w:tblStyle w:val="6"/>
        <w:tblW w:w="0" w:type="auto"/>
        <w:jc w:val="center"/>
        <w:tblLayout w:type="fixed"/>
        <w:tblCellMar>
          <w:top w:w="0" w:type="dxa"/>
          <w:left w:w="108" w:type="dxa"/>
          <w:bottom w:w="0" w:type="dxa"/>
          <w:right w:w="108" w:type="dxa"/>
        </w:tblCellMar>
      </w:tblPr>
      <w:tblGrid>
        <w:gridCol w:w="7244"/>
        <w:gridCol w:w="1243"/>
      </w:tblGrid>
      <w:tr>
        <w:trPr>
          <w:trHeight w:val="284" w:hRule="atLeast"/>
          <w:jc w:val="center"/>
        </w:trPr>
        <w:tc>
          <w:tcPr>
            <w:tcW w:w="7244"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bookmarkStart w:id="36" w:name="OLE_LINK13"/>
            <w:r>
              <w:rPr>
                <w:rFonts w:ascii="Times New Roman" w:hAnsi="Times New Roman"/>
                <w:sz w:val="21"/>
                <w:szCs w:val="21"/>
              </w:rPr>
              <w:t>胸部损伤导致一侧全肺切除</w:t>
            </w:r>
            <w:bookmarkEnd w:id="36"/>
          </w:p>
        </w:tc>
        <w:tc>
          <w:tcPr>
            <w:tcW w:w="1243"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4级</w:t>
            </w:r>
          </w:p>
        </w:tc>
      </w:tr>
      <w:tr>
        <w:tblPrEx>
          <w:tblCellMar>
            <w:top w:w="0" w:type="dxa"/>
            <w:left w:w="108" w:type="dxa"/>
            <w:bottom w:w="0" w:type="dxa"/>
            <w:right w:w="108" w:type="dxa"/>
          </w:tblCellMar>
        </w:tblPrEx>
        <w:trPr>
          <w:trHeight w:val="284" w:hRule="atLeast"/>
          <w:jc w:val="center"/>
        </w:trPr>
        <w:tc>
          <w:tcPr>
            <w:tcW w:w="7244"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胸部损伤导致双侧肺叶切除</w:t>
            </w:r>
          </w:p>
        </w:tc>
        <w:tc>
          <w:tcPr>
            <w:tcW w:w="1243"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4级</w:t>
            </w:r>
          </w:p>
        </w:tc>
      </w:tr>
      <w:tr>
        <w:tblPrEx>
          <w:tblCellMar>
            <w:top w:w="0" w:type="dxa"/>
            <w:left w:w="108" w:type="dxa"/>
            <w:bottom w:w="0" w:type="dxa"/>
            <w:right w:w="108" w:type="dxa"/>
          </w:tblCellMar>
        </w:tblPrEx>
        <w:trPr>
          <w:trHeight w:val="284" w:hRule="atLeast"/>
          <w:jc w:val="center"/>
        </w:trPr>
        <w:tc>
          <w:tcPr>
            <w:tcW w:w="7244"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胸部损伤导致同侧双肺叶切除</w:t>
            </w:r>
          </w:p>
        </w:tc>
        <w:tc>
          <w:tcPr>
            <w:tcW w:w="1243"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CellMar>
            <w:top w:w="0" w:type="dxa"/>
            <w:left w:w="108" w:type="dxa"/>
            <w:bottom w:w="0" w:type="dxa"/>
            <w:right w:w="108" w:type="dxa"/>
          </w:tblCellMar>
        </w:tblPrEx>
        <w:trPr>
          <w:trHeight w:val="284" w:hRule="atLeast"/>
          <w:jc w:val="center"/>
        </w:trPr>
        <w:tc>
          <w:tcPr>
            <w:tcW w:w="7244"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color w:val="FF0000"/>
                <w:sz w:val="21"/>
                <w:szCs w:val="21"/>
              </w:rPr>
            </w:pPr>
            <w:r>
              <w:rPr>
                <w:rFonts w:ascii="Times New Roman" w:hAnsi="Times New Roman"/>
                <w:sz w:val="21"/>
                <w:szCs w:val="21"/>
              </w:rPr>
              <w:t>胸部损伤导致肺叶切除</w:t>
            </w:r>
          </w:p>
        </w:tc>
        <w:tc>
          <w:tcPr>
            <w:tcW w:w="1243"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7级</w:t>
            </w:r>
          </w:p>
        </w:tc>
      </w:tr>
    </w:tbl>
    <w:p>
      <w:pPr>
        <w:pStyle w:val="4"/>
        <w:keepNext w:val="0"/>
        <w:keepLines w:val="0"/>
        <w:widowControl/>
        <w:numPr>
          <w:ilvl w:val="1"/>
          <w:numId w:val="1"/>
        </w:numPr>
        <w:autoSpaceDE/>
        <w:autoSpaceDN/>
        <w:snapToGrid/>
        <w:spacing w:beforeLines="30" w:after="0" w:line="240" w:lineRule="auto"/>
        <w:ind w:left="0" w:firstLine="0"/>
        <w:contextualSpacing/>
        <w:jc w:val="left"/>
        <w:rPr>
          <w:rFonts w:ascii="Times New Roman"/>
          <w:sz w:val="21"/>
          <w:szCs w:val="21"/>
        </w:rPr>
      </w:pPr>
      <w:bookmarkStart w:id="37" w:name="_Toc356463482"/>
      <w:r>
        <w:rPr>
          <w:rFonts w:ascii="Times New Roman"/>
          <w:sz w:val="21"/>
          <w:szCs w:val="21"/>
        </w:rPr>
        <w:t>胸廓的结构损伤</w:t>
      </w:r>
      <w:bookmarkEnd w:id="37"/>
    </w:p>
    <w:p>
      <w:pPr>
        <w:pStyle w:val="9"/>
        <w:spacing w:beforeLines="50" w:line="280" w:lineRule="exact"/>
        <w:rPr>
          <w:rFonts w:ascii="Times New Roman" w:hAnsi="Times New Roman"/>
          <w:sz w:val="21"/>
          <w:szCs w:val="21"/>
        </w:rPr>
      </w:pPr>
      <w:r>
        <w:rPr>
          <w:rFonts w:ascii="Times New Roman" w:hAnsi="Times New Roman"/>
          <w:sz w:val="21"/>
          <w:szCs w:val="21"/>
        </w:rPr>
        <w:t>本标准中的胸廓的结构损伤是指肋骨骨折或缺失。</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胸部损伤导致大于等于12根肋骨骨折</w:t>
            </w:r>
          </w:p>
        </w:tc>
        <w:tc>
          <w:tcPr>
            <w:tcW w:w="134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胸部损伤导致大于等于8根肋骨骨折</w:t>
            </w:r>
          </w:p>
        </w:tc>
        <w:tc>
          <w:tcPr>
            <w:tcW w:w="134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胸部损伤导致大于等于4根肋骨缺失</w:t>
            </w:r>
          </w:p>
        </w:tc>
        <w:tc>
          <w:tcPr>
            <w:tcW w:w="134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胸部损伤导致大于等于4根肋骨骨折</w:t>
            </w:r>
          </w:p>
        </w:tc>
        <w:tc>
          <w:tcPr>
            <w:tcW w:w="134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胸部损伤导致大于等于2根肋骨缺失</w:t>
            </w:r>
          </w:p>
        </w:tc>
        <w:tc>
          <w:tcPr>
            <w:tcW w:w="134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10级</w:t>
            </w:r>
          </w:p>
        </w:tc>
      </w:tr>
    </w:tbl>
    <w:p>
      <w:pPr>
        <w:spacing w:line="240" w:lineRule="exact"/>
        <w:ind w:firstLine="640" w:firstLineChars="200"/>
        <w:contextualSpacing/>
        <w:rPr>
          <w:rFonts w:ascii="Times New Roman"/>
          <w:szCs w:val="21"/>
        </w:rPr>
      </w:pPr>
    </w:p>
    <w:p>
      <w:pPr>
        <w:pStyle w:val="3"/>
        <w:keepNext w:val="0"/>
        <w:keepLines w:val="0"/>
        <w:widowControl/>
        <w:numPr>
          <w:ilvl w:val="0"/>
          <w:numId w:val="1"/>
        </w:numPr>
        <w:autoSpaceDE/>
        <w:autoSpaceDN/>
        <w:snapToGrid/>
        <w:spacing w:before="0" w:after="0" w:line="240" w:lineRule="auto"/>
        <w:contextualSpacing/>
        <w:jc w:val="left"/>
        <w:rPr>
          <w:rFonts w:ascii="Times New Roman" w:hAnsi="Times New Roman" w:cs="Times New Roman"/>
          <w:sz w:val="21"/>
          <w:szCs w:val="21"/>
        </w:rPr>
      </w:pPr>
      <w:bookmarkStart w:id="38" w:name="_Toc356463483"/>
      <w:r>
        <w:rPr>
          <w:rFonts w:ascii="Times New Roman" w:hAnsi="Times New Roman" w:cs="Times New Roman"/>
          <w:sz w:val="21"/>
          <w:szCs w:val="21"/>
        </w:rPr>
        <w:t>消化、代谢和内分泌系统有关的结构和功能</w:t>
      </w:r>
      <w:bookmarkEnd w:id="38"/>
    </w:p>
    <w:p>
      <w:pPr>
        <w:pStyle w:val="4"/>
        <w:keepNext w:val="0"/>
        <w:keepLines w:val="0"/>
        <w:widowControl/>
        <w:numPr>
          <w:ilvl w:val="1"/>
          <w:numId w:val="1"/>
        </w:numPr>
        <w:autoSpaceDE/>
        <w:autoSpaceDN/>
        <w:snapToGrid/>
        <w:spacing w:before="0" w:after="0" w:line="240" w:lineRule="auto"/>
        <w:ind w:left="0" w:firstLine="0"/>
        <w:contextualSpacing/>
        <w:jc w:val="left"/>
        <w:rPr>
          <w:rFonts w:ascii="Times New Roman"/>
          <w:sz w:val="21"/>
          <w:szCs w:val="21"/>
        </w:rPr>
      </w:pPr>
      <w:bookmarkStart w:id="39" w:name="_Toc356463484"/>
      <w:r>
        <w:rPr>
          <w:rFonts w:ascii="Times New Roman"/>
          <w:sz w:val="21"/>
          <w:szCs w:val="21"/>
        </w:rPr>
        <w:t>咀嚼和吞咽功能障碍</w:t>
      </w:r>
      <w:bookmarkEnd w:id="39"/>
    </w:p>
    <w:p>
      <w:pPr>
        <w:pStyle w:val="9"/>
        <w:spacing w:beforeLines="50" w:line="280" w:lineRule="exact"/>
        <w:rPr>
          <w:rFonts w:ascii="Times New Roman" w:hAnsi="Times New Roman"/>
          <w:sz w:val="21"/>
          <w:szCs w:val="21"/>
        </w:rPr>
      </w:pPr>
      <w:r>
        <w:rPr>
          <w:rFonts w:ascii="Times New Roman" w:hAnsi="Times New Roman"/>
          <w:sz w:val="21"/>
          <w:szCs w:val="21"/>
        </w:rPr>
        <w:t>咀嚼是指用后牙（如磨牙）碾、磨或咀嚼食物的功能。吞咽是指通过口腔、咽和食道把食物和饮料以适宜的频率和速度送入胃中的功能。</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7244" w:type="dxa"/>
            <w:vAlign w:val="center"/>
          </w:tcPr>
          <w:p>
            <w:pPr>
              <w:pStyle w:val="10"/>
              <w:spacing w:line="240" w:lineRule="exact"/>
              <w:rPr>
                <w:rFonts w:ascii="Times New Roman" w:hAnsi="Times New Roman"/>
                <w:sz w:val="21"/>
                <w:szCs w:val="21"/>
              </w:rPr>
            </w:pPr>
            <w:r>
              <w:rPr>
                <w:rFonts w:ascii="Times New Roman" w:hAnsi="Times New Roman"/>
                <w:sz w:val="21"/>
                <w:szCs w:val="21"/>
              </w:rPr>
              <w:t>咀嚼、吞咽功能完全丧失</w:t>
            </w:r>
          </w:p>
        </w:tc>
        <w:tc>
          <w:tcPr>
            <w:tcW w:w="1183" w:type="dxa"/>
            <w:vAlign w:val="center"/>
          </w:tcPr>
          <w:p>
            <w:pPr>
              <w:pStyle w:val="10"/>
              <w:spacing w:line="240" w:lineRule="exact"/>
              <w:rPr>
                <w:rFonts w:ascii="Times New Roman" w:hAnsi="Times New Roman"/>
                <w:color w:val="000000"/>
                <w:sz w:val="21"/>
                <w:szCs w:val="21"/>
              </w:rPr>
            </w:pPr>
            <w:r>
              <w:rPr>
                <w:rFonts w:ascii="Times New Roman" w:hAnsi="Times New Roman"/>
                <w:color w:val="000000"/>
                <w:sz w:val="21"/>
                <w:szCs w:val="21"/>
              </w:rPr>
              <w:t>1级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注：咀嚼、吞咽功能丧失指由于牙齿以外的原因引起器质障碍或机能障碍，以致不能作咀嚼、吞咽运动，除流质食物外不能摄取或吞咽的状态。</w:t>
      </w:r>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40" w:name="_Toc356463485"/>
      <w:r>
        <w:rPr>
          <w:rFonts w:ascii="Times New Roman"/>
          <w:sz w:val="21"/>
          <w:szCs w:val="21"/>
        </w:rPr>
        <w:t>肠的结构损伤</w:t>
      </w:r>
      <w:bookmarkEnd w:id="40"/>
    </w:p>
    <w:tbl>
      <w:tblPr>
        <w:tblStyle w:val="6"/>
        <w:tblW w:w="0" w:type="auto"/>
        <w:jc w:val="center"/>
        <w:tblLayout w:type="fixed"/>
        <w:tblCellMar>
          <w:top w:w="0" w:type="dxa"/>
          <w:left w:w="108" w:type="dxa"/>
          <w:bottom w:w="0" w:type="dxa"/>
          <w:right w:w="108" w:type="dxa"/>
        </w:tblCellMar>
      </w:tblPr>
      <w:tblGrid>
        <w:gridCol w:w="7116"/>
        <w:gridCol w:w="1370"/>
      </w:tblGrid>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腹部损伤导致小肠切除大于等于90%</w:t>
            </w:r>
          </w:p>
        </w:tc>
        <w:tc>
          <w:tcPr>
            <w:tcW w:w="1370"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 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腹部损伤导致小肠切除大于等于75%，合并短肠综合症</w:t>
            </w:r>
          </w:p>
        </w:tc>
        <w:tc>
          <w:tcPr>
            <w:tcW w:w="1370"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腹部损伤导致小肠切除大于等于75%</w:t>
            </w:r>
          </w:p>
        </w:tc>
        <w:tc>
          <w:tcPr>
            <w:tcW w:w="1370"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腹部或骨盆部损伤导致全结肠、直肠、肛门结构切除，回肠造瘘</w:t>
            </w:r>
          </w:p>
        </w:tc>
        <w:tc>
          <w:tcPr>
            <w:tcW w:w="1370"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腹部或骨盆部损伤导致直肠、肛门切除，且结肠部分切除，结肠造瘘</w:t>
            </w:r>
          </w:p>
        </w:tc>
        <w:tc>
          <w:tcPr>
            <w:tcW w:w="1370"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腹部损伤导致小肠切除大于等于50%,且包括回盲部切除</w:t>
            </w:r>
          </w:p>
        </w:tc>
        <w:tc>
          <w:tcPr>
            <w:tcW w:w="1370"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腹部损伤导致小肠切除大于等于50%</w:t>
            </w:r>
          </w:p>
        </w:tc>
        <w:tc>
          <w:tcPr>
            <w:tcW w:w="1370"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腹部损伤导致结肠切除大于等于50%</w:t>
            </w:r>
          </w:p>
        </w:tc>
        <w:tc>
          <w:tcPr>
            <w:tcW w:w="1370"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腹部损伤导致结肠部分切除</w:t>
            </w:r>
          </w:p>
        </w:tc>
        <w:tc>
          <w:tcPr>
            <w:tcW w:w="1370"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骨盆部损伤导致直肠、肛门损伤，且遗留永久性乙状结肠造口</w:t>
            </w:r>
          </w:p>
        </w:tc>
        <w:tc>
          <w:tcPr>
            <w:tcW w:w="1370"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CellMar>
            <w:top w:w="0" w:type="dxa"/>
            <w:left w:w="108" w:type="dxa"/>
            <w:bottom w:w="0" w:type="dxa"/>
            <w:right w:w="108" w:type="dxa"/>
          </w:tblCellMar>
        </w:tblPrEx>
        <w:trPr>
          <w:trHeight w:val="284" w:hRule="atLeast"/>
          <w:jc w:val="center"/>
        </w:trPr>
        <w:tc>
          <w:tcPr>
            <w:tcW w:w="711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骨盆部损伤导致直肠、肛门损伤，且瘢痕形成</w:t>
            </w:r>
          </w:p>
        </w:tc>
        <w:tc>
          <w:tcPr>
            <w:tcW w:w="1370"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41" w:name="_Toc356463486"/>
      <w:r>
        <w:rPr>
          <w:rFonts w:ascii="Times New Roman"/>
          <w:sz w:val="21"/>
          <w:szCs w:val="21"/>
        </w:rPr>
        <w:t>胃结构损伤</w:t>
      </w:r>
      <w:bookmarkEnd w:id="41"/>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腹部损伤导致全胃切除</w:t>
            </w:r>
          </w:p>
        </w:tc>
        <w:tc>
          <w:tcPr>
            <w:tcW w:w="121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腹部损伤导致胃切除大于等于50%</w:t>
            </w:r>
          </w:p>
        </w:tc>
        <w:tc>
          <w:tcPr>
            <w:tcW w:w="121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7级</w:t>
            </w:r>
          </w:p>
        </w:tc>
      </w:tr>
    </w:tbl>
    <w:p>
      <w:pPr>
        <w:pStyle w:val="4"/>
        <w:keepNext w:val="0"/>
        <w:keepLines w:val="0"/>
        <w:widowControl/>
        <w:numPr>
          <w:ilvl w:val="1"/>
          <w:numId w:val="1"/>
        </w:numPr>
        <w:autoSpaceDE/>
        <w:autoSpaceDN/>
        <w:snapToGrid/>
        <w:spacing w:beforeLines="30" w:after="0" w:line="240" w:lineRule="auto"/>
        <w:ind w:left="0" w:firstLine="0"/>
        <w:contextualSpacing/>
        <w:jc w:val="left"/>
        <w:rPr>
          <w:rFonts w:ascii="Times New Roman"/>
          <w:sz w:val="21"/>
          <w:szCs w:val="21"/>
        </w:rPr>
      </w:pPr>
      <w:bookmarkStart w:id="42" w:name="_Toc356463487"/>
      <w:r>
        <w:rPr>
          <w:rFonts w:ascii="Times New Roman"/>
          <w:sz w:val="21"/>
          <w:szCs w:val="21"/>
        </w:rPr>
        <w:t>胰结构损伤或代谢功能障碍</w:t>
      </w:r>
      <w:bookmarkEnd w:id="42"/>
    </w:p>
    <w:p>
      <w:pPr>
        <w:pStyle w:val="9"/>
        <w:spacing w:beforeLines="50" w:line="280" w:lineRule="exact"/>
        <w:rPr>
          <w:rFonts w:ascii="Times New Roman" w:hAnsi="Times New Roman"/>
          <w:sz w:val="21"/>
          <w:szCs w:val="21"/>
        </w:rPr>
      </w:pPr>
      <w:r>
        <w:rPr>
          <w:rFonts w:ascii="Times New Roman" w:hAnsi="Times New Roman"/>
          <w:sz w:val="21"/>
          <w:szCs w:val="21"/>
        </w:rPr>
        <w:t>本标准中的代谢功能障碍是指胰岛素依赖。</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0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腹部损伤导致胰完全切除</w:t>
            </w:r>
          </w:p>
        </w:tc>
        <w:tc>
          <w:tcPr>
            <w:tcW w:w="139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0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腹部损伤导致胰切除大于等于50%，且伴有胰岛素依赖</w:t>
            </w:r>
          </w:p>
        </w:tc>
        <w:tc>
          <w:tcPr>
            <w:tcW w:w="139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0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腹部损伤导致胰头、十二指肠切除</w:t>
            </w:r>
          </w:p>
        </w:tc>
        <w:tc>
          <w:tcPr>
            <w:tcW w:w="139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0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腹部损伤导致胰切除大于等于50%</w:t>
            </w:r>
          </w:p>
        </w:tc>
        <w:tc>
          <w:tcPr>
            <w:tcW w:w="139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0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腹部损伤导致胰部分切除</w:t>
            </w:r>
          </w:p>
        </w:tc>
        <w:tc>
          <w:tcPr>
            <w:tcW w:w="139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43" w:name="_Toc356463488"/>
      <w:r>
        <w:rPr>
          <w:rFonts w:ascii="Times New Roman"/>
          <w:sz w:val="21"/>
          <w:szCs w:val="21"/>
        </w:rPr>
        <w:t>肝结构损伤</w:t>
      </w:r>
      <w:bookmarkEnd w:id="43"/>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腹部损伤导致肝切除大于等于75%</w:t>
            </w:r>
          </w:p>
        </w:tc>
        <w:tc>
          <w:tcPr>
            <w:tcW w:w="121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腹部损伤导致肝切除大于等于50%</w:t>
            </w:r>
          </w:p>
        </w:tc>
        <w:tc>
          <w:tcPr>
            <w:tcW w:w="121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腹部损伤导致肝部分切除</w:t>
            </w:r>
          </w:p>
        </w:tc>
        <w:tc>
          <w:tcPr>
            <w:tcW w:w="121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bl>
    <w:p>
      <w:pPr>
        <w:spacing w:line="240" w:lineRule="exact"/>
        <w:ind w:firstLine="640" w:firstLineChars="200"/>
        <w:contextualSpacing/>
        <w:rPr>
          <w:rFonts w:ascii="Times New Roman"/>
          <w:szCs w:val="21"/>
        </w:rPr>
      </w:pPr>
    </w:p>
    <w:p>
      <w:pPr>
        <w:pStyle w:val="3"/>
        <w:keepNext w:val="0"/>
        <w:keepLines w:val="0"/>
        <w:widowControl/>
        <w:numPr>
          <w:ilvl w:val="0"/>
          <w:numId w:val="1"/>
        </w:numPr>
        <w:autoSpaceDE/>
        <w:autoSpaceDN/>
        <w:snapToGrid/>
        <w:spacing w:before="0" w:after="0" w:line="240" w:lineRule="auto"/>
        <w:contextualSpacing/>
        <w:jc w:val="left"/>
        <w:rPr>
          <w:rFonts w:ascii="Times New Roman" w:hAnsi="Times New Roman" w:cs="Times New Roman"/>
          <w:sz w:val="21"/>
          <w:szCs w:val="21"/>
        </w:rPr>
      </w:pPr>
      <w:bookmarkStart w:id="44" w:name="_Toc356463489"/>
      <w:r>
        <w:rPr>
          <w:rFonts w:ascii="Times New Roman" w:hAnsi="Times New Roman" w:cs="Times New Roman"/>
          <w:sz w:val="21"/>
          <w:szCs w:val="21"/>
        </w:rPr>
        <w:t>泌尿和生殖系统有关的结构和功能</w:t>
      </w:r>
      <w:bookmarkEnd w:id="44"/>
    </w:p>
    <w:p>
      <w:pPr>
        <w:pStyle w:val="4"/>
        <w:keepNext w:val="0"/>
        <w:keepLines w:val="0"/>
        <w:widowControl/>
        <w:numPr>
          <w:ilvl w:val="1"/>
          <w:numId w:val="1"/>
        </w:numPr>
        <w:autoSpaceDE/>
        <w:autoSpaceDN/>
        <w:snapToGrid/>
        <w:spacing w:before="0" w:afterLines="30" w:line="240" w:lineRule="auto"/>
        <w:ind w:left="0" w:firstLine="0"/>
        <w:contextualSpacing/>
        <w:jc w:val="left"/>
        <w:rPr>
          <w:rFonts w:ascii="Times New Roman"/>
          <w:sz w:val="21"/>
          <w:szCs w:val="21"/>
        </w:rPr>
      </w:pPr>
      <w:bookmarkStart w:id="45" w:name="OLE_LINK17"/>
      <w:bookmarkStart w:id="46" w:name="_Toc356463490"/>
      <w:r>
        <w:rPr>
          <w:rFonts w:ascii="Times New Roman"/>
          <w:sz w:val="21"/>
          <w:szCs w:val="21"/>
        </w:rPr>
        <w:t>泌尿系统</w:t>
      </w:r>
      <w:bookmarkEnd w:id="45"/>
      <w:r>
        <w:rPr>
          <w:rFonts w:ascii="Times New Roman"/>
          <w:sz w:val="21"/>
          <w:szCs w:val="21"/>
        </w:rPr>
        <w:t>的结构损伤</w:t>
      </w:r>
      <w:bookmarkEnd w:id="46"/>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腹部损伤导致双侧肾切除</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腹部损伤导致孤肾切除</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骨盆部损伤导致双侧输尿管缺失</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骨盆部损伤导致双侧输尿管闭锁</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骨盆部损伤导致一侧输尿管缺失，另一侧输尿管闭锁</w:t>
            </w:r>
            <w:r>
              <w:rPr>
                <w:rFonts w:ascii="Times New Roman" w:hAnsi="Times New Roman"/>
                <w:sz w:val="21"/>
                <w:szCs w:val="21"/>
              </w:rPr>
              <w:tab/>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骨盆部损伤导致膀胱切除</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骨盆部损伤导致尿道闭锁</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骨盆部损伤导致一侧输尿管缺失，另一侧输尿管严重狭窄</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骨盆部损伤导致一侧输尿管闭锁，另一侧输尿管严重狭窄</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腹部损伤导致一侧肾切除</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骨盆部损伤导致双侧输尿管严重狭窄</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骨盆部损伤导致一侧输尿管缺失，另一侧输尿管狭窄</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骨盆部损伤导致一侧输尿管闭锁，另一侧输尿管狭窄</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腹部损伤导致一侧肾部分切除</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骨盆部损伤导致一侧输尿管缺失</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骨盆部损伤导致一侧输尿管闭锁</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骨盆部损伤导致尿道狭窄</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骨盆部损伤导致膀胱部分切除</w:t>
            </w:r>
          </w:p>
        </w:tc>
        <w:tc>
          <w:tcPr>
            <w:tcW w:w="1307"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腹部损伤导致肾破裂修补</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骨盆部损伤导致一侧输尿管严重狭窄</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骨盆部损伤导致膀胱破裂修补</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47" w:name="_Toc356463491"/>
      <w:r>
        <w:rPr>
          <w:rFonts w:ascii="Times New Roman"/>
          <w:sz w:val="21"/>
          <w:szCs w:val="21"/>
        </w:rPr>
        <w:t>生殖系统的结构损伤</w:t>
      </w:r>
      <w:bookmarkEnd w:id="47"/>
    </w:p>
    <w:tbl>
      <w:tblPr>
        <w:tblStyle w:val="6"/>
        <w:tblW w:w="0" w:type="auto"/>
        <w:jc w:val="center"/>
        <w:tblLayout w:type="fixed"/>
        <w:tblCellMar>
          <w:top w:w="0" w:type="dxa"/>
          <w:left w:w="108" w:type="dxa"/>
          <w:bottom w:w="0" w:type="dxa"/>
          <w:right w:w="108" w:type="dxa"/>
        </w:tblCellMar>
      </w:tblPr>
      <w:tblGrid>
        <w:gridCol w:w="7038"/>
        <w:gridCol w:w="1291"/>
      </w:tblGrid>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会阴部损伤导致双侧睾丸缺失</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会阴部损伤导致双侧睾丸完全萎缩</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会阴部损伤导致一侧睾丸缺失，另一侧睾丸完全萎缩</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会阴部损伤导致阴茎体完全缺失</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会阴部损伤导致阴道闭锁</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会阴部损伤导致阴茎体缺失大于50%</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会阴部损伤导致双侧输精管缺失</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会阴部损伤导致双侧输精管闭锁</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会阴部损伤导致一侧输精管缺失，另一侧输精管闭锁</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胸部损伤导致女性双侧乳房缺失</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骨盆部损伤导致子宫切除</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胸部损伤导致女性一侧乳房缺失，另一侧乳房部分缺失</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CellMar>
            <w:top w:w="0" w:type="dxa"/>
            <w:left w:w="108" w:type="dxa"/>
            <w:bottom w:w="0" w:type="dxa"/>
            <w:right w:w="108" w:type="dxa"/>
          </w:tblCellMar>
        </w:tblPrEx>
        <w:trPr>
          <w:trHeight w:val="284" w:hRule="atLeast"/>
          <w:jc w:val="center"/>
        </w:trPr>
        <w:tc>
          <w:tcPr>
            <w:tcW w:w="7038"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胸部损伤导致女性一侧乳房缺失</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CellMar>
            <w:top w:w="0" w:type="dxa"/>
            <w:left w:w="108" w:type="dxa"/>
            <w:bottom w:w="0" w:type="dxa"/>
            <w:right w:w="108" w:type="dxa"/>
          </w:tblCellMar>
        </w:tblPrEx>
        <w:trPr>
          <w:trHeight w:val="284" w:hRule="atLeast"/>
          <w:jc w:val="center"/>
        </w:trPr>
        <w:tc>
          <w:tcPr>
            <w:tcW w:w="7038"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骨盆部损伤导致子宫部分切除</w:t>
            </w:r>
          </w:p>
        </w:tc>
        <w:tc>
          <w:tcPr>
            <w:tcW w:w="129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CellMar>
            <w:top w:w="0" w:type="dxa"/>
            <w:left w:w="108" w:type="dxa"/>
            <w:bottom w:w="0" w:type="dxa"/>
            <w:right w:w="108" w:type="dxa"/>
          </w:tblCellMar>
        </w:tblPrEx>
        <w:trPr>
          <w:trHeight w:val="284" w:hRule="atLeast"/>
          <w:jc w:val="center"/>
        </w:trPr>
        <w:tc>
          <w:tcPr>
            <w:tcW w:w="7038"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骨盆部损伤导致子宫破裂修补</w:t>
            </w:r>
          </w:p>
        </w:tc>
        <w:tc>
          <w:tcPr>
            <w:tcW w:w="1291" w:type="dxa"/>
            <w:tcBorders>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CellMar>
            <w:top w:w="0" w:type="dxa"/>
            <w:left w:w="108" w:type="dxa"/>
            <w:bottom w:w="0" w:type="dxa"/>
            <w:right w:w="108" w:type="dxa"/>
          </w:tblCellMar>
        </w:tblPrEx>
        <w:trPr>
          <w:trHeight w:val="284" w:hRule="atLeast"/>
          <w:jc w:val="center"/>
        </w:trPr>
        <w:tc>
          <w:tcPr>
            <w:tcW w:w="7038"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会阴部损伤导致一侧睾丸缺失</w:t>
            </w:r>
          </w:p>
        </w:tc>
        <w:tc>
          <w:tcPr>
            <w:tcW w:w="129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CellMar>
            <w:top w:w="0" w:type="dxa"/>
            <w:left w:w="108" w:type="dxa"/>
            <w:bottom w:w="0" w:type="dxa"/>
            <w:right w:w="108" w:type="dxa"/>
          </w:tblCellMar>
        </w:tblPrEx>
        <w:trPr>
          <w:trHeight w:val="284" w:hRule="atLeast"/>
          <w:jc w:val="center"/>
        </w:trPr>
        <w:tc>
          <w:tcPr>
            <w:tcW w:w="7038"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会阴部损伤导致一侧睾丸完全萎缩</w:t>
            </w:r>
          </w:p>
        </w:tc>
        <w:tc>
          <w:tcPr>
            <w:tcW w:w="129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CellMar>
            <w:top w:w="0" w:type="dxa"/>
            <w:left w:w="108" w:type="dxa"/>
            <w:bottom w:w="0" w:type="dxa"/>
            <w:right w:w="108" w:type="dxa"/>
          </w:tblCellMar>
        </w:tblPrEx>
        <w:trPr>
          <w:trHeight w:val="284" w:hRule="atLeast"/>
          <w:jc w:val="center"/>
        </w:trPr>
        <w:tc>
          <w:tcPr>
            <w:tcW w:w="7038"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会阴部损伤导致一侧输精管缺失</w:t>
            </w:r>
          </w:p>
        </w:tc>
        <w:tc>
          <w:tcPr>
            <w:tcW w:w="129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CellMar>
            <w:top w:w="0" w:type="dxa"/>
            <w:left w:w="108" w:type="dxa"/>
            <w:bottom w:w="0" w:type="dxa"/>
            <w:right w:w="108" w:type="dxa"/>
          </w:tblCellMar>
        </w:tblPrEx>
        <w:trPr>
          <w:trHeight w:val="284" w:hRule="atLeast"/>
          <w:jc w:val="center"/>
        </w:trPr>
        <w:tc>
          <w:tcPr>
            <w:tcW w:w="7038"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会阴部损伤导致一侧输精管闭锁</w:t>
            </w:r>
          </w:p>
        </w:tc>
        <w:tc>
          <w:tcPr>
            <w:tcW w:w="129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spacing w:line="240" w:lineRule="exact"/>
        <w:ind w:firstLine="640" w:firstLineChars="200"/>
        <w:contextualSpacing/>
        <w:rPr>
          <w:rFonts w:ascii="Times New Roman"/>
          <w:szCs w:val="21"/>
        </w:rPr>
      </w:pPr>
    </w:p>
    <w:p>
      <w:pPr>
        <w:pStyle w:val="3"/>
        <w:keepNext w:val="0"/>
        <w:keepLines w:val="0"/>
        <w:widowControl/>
        <w:numPr>
          <w:ilvl w:val="0"/>
          <w:numId w:val="1"/>
        </w:numPr>
        <w:autoSpaceDE/>
        <w:autoSpaceDN/>
        <w:snapToGrid/>
        <w:spacing w:before="0" w:after="0" w:line="240" w:lineRule="auto"/>
        <w:contextualSpacing/>
        <w:jc w:val="left"/>
        <w:rPr>
          <w:rFonts w:ascii="Times New Roman" w:hAnsi="Times New Roman" w:cs="Times New Roman"/>
          <w:sz w:val="21"/>
          <w:szCs w:val="21"/>
        </w:rPr>
      </w:pPr>
      <w:bookmarkStart w:id="48" w:name="_Toc356463492"/>
      <w:r>
        <w:rPr>
          <w:rFonts w:ascii="Times New Roman" w:hAnsi="Times New Roman" w:cs="Times New Roman"/>
          <w:sz w:val="21"/>
          <w:szCs w:val="21"/>
        </w:rPr>
        <w:t>神经肌肉骨骼和运动有关的结构和功能</w:t>
      </w:r>
      <w:bookmarkEnd w:id="48"/>
    </w:p>
    <w:p>
      <w:pPr>
        <w:pStyle w:val="4"/>
        <w:keepNext w:val="0"/>
        <w:keepLines w:val="0"/>
        <w:widowControl/>
        <w:numPr>
          <w:ilvl w:val="1"/>
          <w:numId w:val="1"/>
        </w:numPr>
        <w:autoSpaceDE/>
        <w:autoSpaceDN/>
        <w:snapToGrid/>
        <w:spacing w:before="0" w:afterLines="30" w:line="240" w:lineRule="auto"/>
        <w:ind w:left="0" w:firstLine="0"/>
        <w:contextualSpacing/>
        <w:jc w:val="left"/>
        <w:rPr>
          <w:rFonts w:ascii="Times New Roman"/>
          <w:sz w:val="21"/>
          <w:szCs w:val="21"/>
        </w:rPr>
      </w:pPr>
      <w:bookmarkStart w:id="49" w:name="_Toc356463493"/>
      <w:r>
        <w:rPr>
          <w:rFonts w:ascii="Times New Roman"/>
          <w:sz w:val="21"/>
          <w:szCs w:val="21"/>
        </w:rPr>
        <w:t>头颈部的结构损伤</w:t>
      </w:r>
      <w:bookmarkEnd w:id="49"/>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双侧上颌骨完全缺失</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双侧下颌骨完全缺失</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一侧上颌骨及对侧下颌骨完全缺失</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同侧上、下颌骨完全缺失</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上颌骨、下颌骨缺损，且牙齿脱落大于等于24枚</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一侧上颌骨完全缺失</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一侧下颌骨完全缺失</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一侧上颌骨缺损大于等于50%，且口腔、颜面部软组织缺损大于20cm</w:t>
            </w:r>
            <w:r>
              <w:rPr>
                <w:rFonts w:ascii="Times New Roman" w:hAnsi="Times New Roman"/>
                <w:sz w:val="21"/>
                <w:szCs w:val="21"/>
                <w:vertAlign w:val="superscript"/>
              </w:rPr>
              <w:t>2</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一侧下颌骨缺损大于等于6cm，且口腔、颜面部软组织缺损大于20cm</w:t>
            </w:r>
            <w:r>
              <w:rPr>
                <w:rFonts w:ascii="Times New Roman" w:hAnsi="Times New Roman"/>
                <w:sz w:val="21"/>
                <w:szCs w:val="21"/>
                <w:vertAlign w:val="superscript"/>
              </w:rPr>
              <w:t>2</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面颊部洞穿性缺损大于20cm</w:t>
            </w:r>
            <w:r>
              <w:rPr>
                <w:rFonts w:ascii="Times New Roman" w:hAnsi="Times New Roman"/>
                <w:sz w:val="21"/>
                <w:szCs w:val="21"/>
                <w:vertAlign w:val="superscript"/>
              </w:rPr>
              <w:t>2</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上颌骨、下颌骨缺损，且牙齿脱落大于等于20枚</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一侧上颌骨缺损大于25%，小于50%，且口腔、颜面部软组织缺损大于10cm</w:t>
            </w:r>
            <w:r>
              <w:rPr>
                <w:rFonts w:ascii="Times New Roman" w:hAnsi="Times New Roman"/>
                <w:sz w:val="21"/>
                <w:szCs w:val="21"/>
                <w:vertAlign w:val="superscript"/>
              </w:rPr>
              <w:t>2</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一侧下颌骨缺损大于等于4cm，且口腔、颜面部软组织缺损大于10cm</w:t>
            </w:r>
            <w:r>
              <w:rPr>
                <w:rFonts w:ascii="Times New Roman" w:hAnsi="Times New Roman"/>
                <w:sz w:val="21"/>
                <w:szCs w:val="21"/>
                <w:vertAlign w:val="superscript"/>
              </w:rPr>
              <w:t>2</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一侧上颌骨缺损等于25%，且口腔、颜面部软组织缺损大于10cm</w:t>
            </w:r>
            <w:r>
              <w:rPr>
                <w:rFonts w:ascii="Times New Roman" w:hAnsi="Times New Roman"/>
                <w:sz w:val="21"/>
                <w:szCs w:val="21"/>
                <w:vertAlign w:val="superscript"/>
              </w:rPr>
              <w:t>2</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面部软组织缺损大于20cm</w:t>
            </w:r>
            <w:r>
              <w:rPr>
                <w:rFonts w:ascii="Times New Roman" w:hAnsi="Times New Roman"/>
                <w:sz w:val="21"/>
                <w:szCs w:val="21"/>
                <w:vertAlign w:val="superscript"/>
              </w:rPr>
              <w:t>2</w:t>
            </w:r>
            <w:r>
              <w:rPr>
                <w:rFonts w:ascii="Times New Roman" w:hAnsi="Times New Roman"/>
                <w:sz w:val="21"/>
                <w:szCs w:val="21"/>
              </w:rPr>
              <w:t>，且伴发涎瘘</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上颌骨、下颌骨缺损，且牙齿脱落大于等于16枚</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上颌骨、下颌骨缺损，且牙齿脱落大于等于12枚</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上颌骨、下颌骨缺损，且牙齿脱落大于等于8枚</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上颌骨、下颌骨缺损，且牙齿脱落大于等于4枚</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11" w:type="dxa"/>
            <w:vAlign w:val="center"/>
          </w:tcPr>
          <w:p>
            <w:pPr>
              <w:pStyle w:val="10"/>
              <w:spacing w:line="240" w:lineRule="exact"/>
              <w:rPr>
                <w:rFonts w:ascii="Times New Roman" w:hAnsi="Times New Roman"/>
                <w:sz w:val="21"/>
                <w:szCs w:val="21"/>
              </w:rPr>
            </w:pPr>
            <w:r>
              <w:rPr>
                <w:rFonts w:ascii="Times New Roman" w:hAnsi="Times New Roman"/>
                <w:sz w:val="21"/>
                <w:szCs w:val="21"/>
              </w:rPr>
              <w:t>颅骨缺损大于等于6cm</w:t>
            </w:r>
            <w:r>
              <w:rPr>
                <w:rFonts w:ascii="Times New Roman" w:hAnsi="Times New Roman"/>
                <w:sz w:val="21"/>
                <w:szCs w:val="21"/>
                <w:vertAlign w:val="superscript"/>
              </w:rPr>
              <w:t>2</w:t>
            </w:r>
          </w:p>
        </w:tc>
        <w:tc>
          <w:tcPr>
            <w:tcW w:w="1404"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50" w:name="_Toc356463494"/>
      <w:r>
        <w:rPr>
          <w:rFonts w:ascii="Times New Roman"/>
          <w:sz w:val="21"/>
          <w:szCs w:val="21"/>
        </w:rPr>
        <w:t>头颈部关节功能障碍</w:t>
      </w:r>
      <w:bookmarkEnd w:id="50"/>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单侧颞下颌关节强直，张口困难Ⅲ度</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双侧颞下颌关节强直，张口困难Ⅲ度</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 xml:space="preserve">双侧颞下颌关节强直，张口困难Ⅱ度 </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一侧颞下颌关节强直，张口困难I度</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张口困难判定及测量方法是以患者自身的食指、中指、无名指并列垂直置入上、下中切牙切缘间测量。正常张口度指张口时上述三指可垂直置入上、下切牙切缘间（相当于4.5cm左右）；张口困难I度指大张口时，只能垂直置入食指和中指（相当于3cm左右）；张口困难II度指大张口时，只能垂直置入食指（相当于1.7cm左右）；张口困难III度指大张口时，上、下切牙间距小于食指之横径。</w:t>
      </w:r>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51" w:name="_Toc356463495"/>
      <w:r>
        <w:rPr>
          <w:rFonts w:ascii="Times New Roman"/>
          <w:sz w:val="21"/>
          <w:szCs w:val="21"/>
        </w:rPr>
        <w:t>上肢的结构损伤，手功能或关节功能障碍</w:t>
      </w:r>
      <w:bookmarkEnd w:id="51"/>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双手完全缺失</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双手完全丧失功能</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一手完全缺失，另一手完全丧失功能</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双手缺失（或丧失功能）大于等于90%</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双手缺失（或丧失功能）大于等于70%</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双手缺失（或丧失功能）大于等于50%</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一上肢三大关节中，有两个关节完全丧失功能</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一上肢三大关节中，有一个关节完全丧失功能</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双手缺失（或丧失功能）大于等于30%</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双手缺失（或丧失功能）大于等于10%</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双上肢长度相差大于等于10cm</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双上肢长度相差大于等于4cm</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49" w:type="dxa"/>
            <w:vAlign w:val="center"/>
          </w:tcPr>
          <w:p>
            <w:pPr>
              <w:pStyle w:val="10"/>
              <w:spacing w:line="240" w:lineRule="exact"/>
              <w:rPr>
                <w:rFonts w:ascii="Times New Roman" w:hAnsi="Times New Roman"/>
                <w:sz w:val="21"/>
                <w:szCs w:val="21"/>
              </w:rPr>
            </w:pPr>
            <w:r>
              <w:rPr>
                <w:rFonts w:ascii="Times New Roman" w:hAnsi="Times New Roman"/>
                <w:sz w:val="21"/>
                <w:szCs w:val="21"/>
              </w:rPr>
              <w:t>一上肢三大关节中，因骨折累及关节面导致一个关节功能部分丧失</w:t>
            </w:r>
          </w:p>
        </w:tc>
        <w:tc>
          <w:tcPr>
            <w:tcW w:w="1352"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注：手缺失和丧失功能的计算：</w:t>
      </w:r>
      <w:bookmarkStart w:id="52" w:name="OLE_LINK28"/>
      <w:bookmarkStart w:id="53" w:name="OLE_LINK29"/>
      <w:r>
        <w:rPr>
          <w:rFonts w:ascii="Times New Roman" w:hAnsi="Times New Roman"/>
          <w:sz w:val="21"/>
          <w:szCs w:val="21"/>
        </w:rPr>
        <w:t>一手拇指占一手功能的36%，其中末节和近节指节各占18%；食指、中指各占一手功能的18%，其中末节指节占8%，中节指节占7%，近节指节占3%；无名指和小指各占一手功能的9%，其中末节指节占4%，中节指节占3%，近节指节占2%。一手掌占一手功能的10%，其中第一掌骨占4%，第二、第三掌骨各占2%，第四、第五掌骨各占1%。本标准中，双手缺失或丧失功能的程度是按前面方式累加计算的结果。</w:t>
      </w:r>
      <w:bookmarkEnd w:id="52"/>
      <w:bookmarkEnd w:id="53"/>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54" w:name="_Toc356463496"/>
      <w:r>
        <w:rPr>
          <w:rFonts w:ascii="Times New Roman"/>
          <w:sz w:val="21"/>
          <w:szCs w:val="21"/>
        </w:rPr>
        <w:t>骨盆部的结构损伤</w:t>
      </w:r>
      <w:bookmarkEnd w:id="54"/>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骨盆环骨折，且两下肢相对长度相差大于等于8cm</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髋臼骨折，且两下肢相对长度相差大于等于8cm</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骨盆环骨折，且两下肢相对长度相差大于等于6cm</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髋臼骨折，且两下肢相对长度相差大于等于6cm</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骨盆环骨折，且两下肢相对长度相差大于等于4cm</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髋臼骨折，且两下肢相对长度相差大于等于4cm</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vAlign w:val="center"/>
          </w:tcPr>
          <w:p>
            <w:pPr>
              <w:pStyle w:val="10"/>
              <w:spacing w:line="240" w:lineRule="exact"/>
              <w:rPr>
                <w:rFonts w:ascii="Times New Roman" w:hAnsi="Times New Roman"/>
                <w:sz w:val="21"/>
                <w:szCs w:val="21"/>
              </w:rPr>
            </w:pPr>
            <w:r>
              <w:rPr>
                <w:rFonts w:ascii="Times New Roman" w:hAnsi="Times New Roman"/>
                <w:sz w:val="21"/>
                <w:szCs w:val="21"/>
              </w:rPr>
              <w:t>骨盆环骨折，且两下肢相对长度相差大于等于2cm</w:t>
            </w:r>
          </w:p>
        </w:tc>
        <w:tc>
          <w:tcPr>
            <w:tcW w:w="130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4" w:type="dxa"/>
            <w:tcBorders>
              <w:bottom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髋臼骨折，且两下肢相对长度相差大于等于2cm</w:t>
            </w:r>
          </w:p>
        </w:tc>
        <w:tc>
          <w:tcPr>
            <w:tcW w:w="1307" w:type="dxa"/>
            <w:tcBorders>
              <w:bottom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55" w:name="_Toc356463497"/>
      <w:r>
        <w:rPr>
          <w:rFonts w:ascii="Times New Roman"/>
          <w:sz w:val="21"/>
          <w:szCs w:val="21"/>
        </w:rPr>
        <w:t>下肢的结构损伤，足功能或关节功能障碍</w:t>
      </w:r>
      <w:bookmarkEnd w:id="55"/>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双足跗跖关节以上缺失</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双下肢长度相差大于等于8cm</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一下肢三大关节中，有两个关节完全丧失功能</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双足足弓结构完全破坏</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一足跗跖关节以上缺失</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双下肢长度相差大于等于6cm</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一足足弓结构完全破坏，另一足足弓结构破坏大于等于1/3</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双足十趾完全缺失</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一下肢三大关节中，有一个关节完全丧失功能</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双足十趾完全丧失功能</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双下肢长度相差大于等于4cm</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一足足弓结构完全破坏</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双足十趾中，大于等于五趾缺失</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一足五趾完全丧失功能</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一足足弓结构破坏大于等于1/3</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双足十趾中，大于等于两趾缺失</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双下肢长度相差大于等于2cm</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24" w:type="dxa"/>
            <w:vAlign w:val="center"/>
          </w:tcPr>
          <w:p>
            <w:pPr>
              <w:pStyle w:val="10"/>
              <w:spacing w:line="240" w:lineRule="exact"/>
              <w:rPr>
                <w:rFonts w:ascii="Times New Roman" w:hAnsi="Times New Roman"/>
                <w:sz w:val="21"/>
                <w:szCs w:val="21"/>
              </w:rPr>
            </w:pPr>
            <w:r>
              <w:rPr>
                <w:rFonts w:ascii="Times New Roman" w:hAnsi="Times New Roman"/>
                <w:sz w:val="21"/>
                <w:szCs w:val="21"/>
              </w:rPr>
              <w:t>一下肢三大关节中，因骨折累及关节面导致一个关节功能部分丧失</w:t>
            </w:r>
          </w:p>
        </w:tc>
        <w:tc>
          <w:tcPr>
            <w:tcW w:w="127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10级</w:t>
            </w:r>
          </w:p>
        </w:tc>
      </w:tr>
    </w:tbl>
    <w:p>
      <w:pPr>
        <w:pStyle w:val="9"/>
        <w:spacing w:beforeLines="30" w:line="280" w:lineRule="exact"/>
        <w:rPr>
          <w:rFonts w:ascii="Times New Roman" w:hAnsi="Times New Roman"/>
          <w:sz w:val="21"/>
          <w:szCs w:val="21"/>
        </w:rPr>
      </w:pPr>
      <w:r>
        <w:rPr>
          <w:rFonts w:ascii="Times New Roman" w:hAnsi="Times New Roman"/>
          <w:sz w:val="21"/>
          <w:szCs w:val="21"/>
        </w:rPr>
        <w:t xml:space="preserve">注： </w:t>
      </w:r>
      <w:r>
        <w:rPr>
          <w:rFonts w:ascii="Times New Roman" w:hAnsi="Times New Roman"/>
          <w:sz w:val="21"/>
          <w:szCs w:val="21"/>
        </w:rPr>
        <w:fldChar w:fldCharType="begin"/>
      </w:r>
      <w:r>
        <w:rPr>
          <w:rFonts w:ascii="Times New Roman" w:hAnsi="Times New Roman"/>
          <w:sz w:val="21"/>
          <w:szCs w:val="21"/>
        </w:rPr>
        <w:instrText xml:space="preserve"> = 1 \* GB3 </w:instrText>
      </w:r>
      <w:r>
        <w:rPr>
          <w:rFonts w:ascii="Times New Roman" w:hAnsi="Times New Roman"/>
          <w:sz w:val="21"/>
          <w:szCs w:val="21"/>
        </w:rPr>
        <w:fldChar w:fldCharType="separate"/>
      </w:r>
      <w:r>
        <w:rPr>
          <w:rFonts w:ascii="Times New Roman" w:hAnsi="Times New Roman"/>
          <w:sz w:val="21"/>
          <w:szCs w:val="21"/>
        </w:rPr>
        <w:t>①</w:t>
      </w:r>
      <w:r>
        <w:rPr>
          <w:rFonts w:ascii="Times New Roman" w:hAnsi="Times New Roman"/>
          <w:sz w:val="21"/>
          <w:szCs w:val="21"/>
        </w:rPr>
        <w:fldChar w:fldCharType="end"/>
      </w:r>
      <w:r>
        <w:rPr>
          <w:rFonts w:ascii="Times New Roman" w:hAnsi="Times New Roman"/>
          <w:sz w:val="21"/>
          <w:szCs w:val="21"/>
        </w:rPr>
        <w:t xml:space="preserve"> 足弓结构破坏：指意外损伤导致的足弓缺失或丧失功能。</w:t>
      </w:r>
    </w:p>
    <w:p>
      <w:pPr>
        <w:pStyle w:val="9"/>
        <w:spacing w:beforeLines="50" w:line="280" w:lineRule="exact"/>
        <w:ind w:firstLine="525" w:firstLineChars="250"/>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2 \* GB3 </w:instrText>
      </w:r>
      <w:r>
        <w:rPr>
          <w:rFonts w:ascii="Times New Roman" w:hAnsi="Times New Roman"/>
          <w:sz w:val="21"/>
          <w:szCs w:val="21"/>
        </w:rPr>
        <w:fldChar w:fldCharType="separate"/>
      </w:r>
      <w:r>
        <w:rPr>
          <w:rFonts w:ascii="Times New Roman" w:hAnsi="Times New Roman"/>
          <w:sz w:val="21"/>
          <w:szCs w:val="21"/>
        </w:rPr>
        <w:t>②</w:t>
      </w:r>
      <w:r>
        <w:rPr>
          <w:rFonts w:ascii="Times New Roman" w:hAnsi="Times New Roman"/>
          <w:sz w:val="21"/>
          <w:szCs w:val="21"/>
        </w:rPr>
        <w:fldChar w:fldCharType="end"/>
      </w:r>
      <w:r>
        <w:rPr>
          <w:rFonts w:ascii="Times New Roman" w:hAnsi="Times New Roman"/>
          <w:sz w:val="21"/>
          <w:szCs w:val="21"/>
        </w:rPr>
        <w:t xml:space="preserve"> 足弓结构完全破坏指足的内、外侧纵弓和横弓结构完全破坏，包括缺失和丧失功能；足弓1/3结构破坏指足三弓的任一弓的结构破坏。</w:t>
      </w:r>
    </w:p>
    <w:p>
      <w:pPr>
        <w:pStyle w:val="9"/>
        <w:spacing w:beforeLines="50" w:line="280" w:lineRule="exact"/>
        <w:ind w:firstLine="525" w:firstLineChars="250"/>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3 \* GB3 </w:instrText>
      </w:r>
      <w:r>
        <w:rPr>
          <w:rFonts w:ascii="Times New Roman" w:hAnsi="Times New Roman"/>
          <w:sz w:val="21"/>
          <w:szCs w:val="21"/>
        </w:rPr>
        <w:fldChar w:fldCharType="separate"/>
      </w:r>
      <w:r>
        <w:rPr>
          <w:rFonts w:ascii="Times New Roman" w:hAnsi="Times New Roman"/>
          <w:sz w:val="21"/>
          <w:szCs w:val="21"/>
        </w:rPr>
        <w:t>③</w:t>
      </w:r>
      <w:r>
        <w:rPr>
          <w:rFonts w:ascii="Times New Roman" w:hAnsi="Times New Roman"/>
          <w:sz w:val="21"/>
          <w:szCs w:val="21"/>
        </w:rPr>
        <w:fldChar w:fldCharType="end"/>
      </w:r>
      <w:r>
        <w:rPr>
          <w:rFonts w:ascii="Times New Roman" w:hAnsi="Times New Roman"/>
          <w:sz w:val="21"/>
          <w:szCs w:val="21"/>
        </w:rPr>
        <w:t xml:space="preserve"> 足趾缺失：指自趾关节以上完全切断。</w:t>
      </w:r>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56" w:name="_Toc356463498"/>
      <w:r>
        <w:rPr>
          <w:rFonts w:ascii="Times New Roman"/>
          <w:sz w:val="21"/>
          <w:szCs w:val="21"/>
        </w:rPr>
        <w:t>四肢的结构损伤，肢体功能或关节功能障碍</w:t>
      </w:r>
      <w:bookmarkEnd w:id="56"/>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6"/>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三肢以上缺失(上肢在腕关节以上,下肢在踝关节以上)</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三肢以上完全丧失功能</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二肢缺失（上肢在腕关节以上，下肢在踝关节以上），且第三肢完全丧失功能</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一肢缺失（上肢在腕关节以上，下肢在踝关节以上），且另二肢完全丧失功能</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二肢缺失(上肢在肘关节以上，下肢在膝关节以上)</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一肢缺失（上肢在肘关节以上，下肢在膝关节以上），且另一肢完全丧失功能</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二肢完全丧失功能</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一肢缺失（上肢在腕关节以上，下肢在踝关节以上），且另一肢完全丧失功能</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二肢缺失(上肢在腕关节以上，下肢在踝关节以上)</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两上肢、或两下肢、或一上肢及一下肢，各有三大关节中的两个关节完全丧失功能</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一肢缺失(上肢在肘关节以上，下肢在膝关节以上)</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一肢完全丧失功能</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一肢缺失(上肢在腕关节以上，下肢在踝关节以上)</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6" w:type="dxa"/>
            <w:vAlign w:val="center"/>
          </w:tcPr>
          <w:p>
            <w:pPr>
              <w:pStyle w:val="10"/>
              <w:spacing w:line="240" w:lineRule="exact"/>
              <w:rPr>
                <w:rFonts w:ascii="Times New Roman" w:hAnsi="Times New Roman"/>
                <w:sz w:val="21"/>
                <w:szCs w:val="21"/>
              </w:rPr>
            </w:pPr>
            <w:r>
              <w:rPr>
                <w:rFonts w:ascii="Times New Roman" w:hAnsi="Times New Roman"/>
                <w:sz w:val="21"/>
                <w:szCs w:val="21"/>
              </w:rPr>
              <w:t>四肢长骨一骺板以上粉碎性骨折</w:t>
            </w:r>
          </w:p>
        </w:tc>
        <w:tc>
          <w:tcPr>
            <w:tcW w:w="1269"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w:t>
      </w:r>
      <w:r>
        <w:rPr>
          <w:rFonts w:ascii="Times New Roman" w:hAnsi="Times New Roman"/>
          <w:color w:val="000000"/>
          <w:sz w:val="21"/>
          <w:szCs w:val="21"/>
        </w:rPr>
        <w:fldChar w:fldCharType="begin"/>
      </w:r>
      <w:r>
        <w:rPr>
          <w:rFonts w:ascii="Times New Roman" w:hAnsi="Times New Roman"/>
          <w:color w:val="000000"/>
          <w:sz w:val="21"/>
          <w:szCs w:val="21"/>
        </w:rPr>
        <w:instrText xml:space="preserve"> = 1 \* GB3 </w:instrText>
      </w:r>
      <w:r>
        <w:rPr>
          <w:rFonts w:ascii="Times New Roman" w:hAnsi="Times New Roman"/>
          <w:color w:val="000000"/>
          <w:sz w:val="21"/>
          <w:szCs w:val="21"/>
        </w:rPr>
        <w:fldChar w:fldCharType="separate"/>
      </w:r>
      <w:r>
        <w:rPr>
          <w:rFonts w:ascii="Times New Roman" w:hAnsi="Times New Roman"/>
          <w:color w:val="000000"/>
          <w:sz w:val="21"/>
          <w:szCs w:val="21"/>
        </w:rPr>
        <w:t>①</w:t>
      </w:r>
      <w:r>
        <w:rPr>
          <w:rFonts w:ascii="Times New Roman" w:hAnsi="Times New Roman"/>
          <w:color w:val="000000"/>
          <w:sz w:val="21"/>
          <w:szCs w:val="21"/>
        </w:rPr>
        <w:fldChar w:fldCharType="end"/>
      </w:r>
      <w:r>
        <w:rPr>
          <w:rFonts w:ascii="Times New Roman" w:hAnsi="Times New Roman"/>
          <w:color w:val="000000"/>
          <w:sz w:val="21"/>
          <w:szCs w:val="21"/>
        </w:rPr>
        <w:t xml:space="preserve"> 骺板</w:t>
      </w:r>
      <w:r>
        <w:rPr>
          <w:rFonts w:ascii="Times New Roman" w:hAnsi="Times New Roman"/>
          <w:sz w:val="21"/>
          <w:szCs w:val="21"/>
        </w:rPr>
        <w:t>：骺板的定义只适用于儿童，四肢长骨骺板骨折可能影响肢体发育，如果存在肢体发育障碍的，应当另行评定伤残等级。</w:t>
      </w:r>
    </w:p>
    <w:p>
      <w:pPr>
        <w:pStyle w:val="9"/>
        <w:spacing w:beforeLines="50" w:line="280" w:lineRule="exact"/>
        <w:ind w:firstLine="420" w:firstLineChars="200"/>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2 \* GB3 </w:instrText>
      </w:r>
      <w:r>
        <w:rPr>
          <w:rFonts w:ascii="Times New Roman" w:hAnsi="Times New Roman"/>
          <w:sz w:val="21"/>
          <w:szCs w:val="21"/>
        </w:rPr>
        <w:fldChar w:fldCharType="separate"/>
      </w:r>
      <w:r>
        <w:rPr>
          <w:rFonts w:ascii="Times New Roman" w:hAnsi="Times New Roman"/>
          <w:sz w:val="21"/>
          <w:szCs w:val="21"/>
        </w:rPr>
        <w:t>②</w:t>
      </w:r>
      <w:r>
        <w:rPr>
          <w:rFonts w:ascii="Times New Roman" w:hAnsi="Times New Roman"/>
          <w:sz w:val="21"/>
          <w:szCs w:val="21"/>
        </w:rPr>
        <w:fldChar w:fldCharType="end"/>
      </w:r>
      <w:r>
        <w:rPr>
          <w:rFonts w:ascii="Times New Roman" w:hAnsi="Times New Roman"/>
          <w:sz w:val="21"/>
          <w:szCs w:val="21"/>
        </w:rPr>
        <w:t xml:space="preserve"> 肢体丧失功能指意外损伤导致肢体三大关节（上肢腕关节、肘关节、肩关节或下肢踝关节、膝关节、髋关节）功能的丧失。</w:t>
      </w:r>
    </w:p>
    <w:p>
      <w:pPr>
        <w:pStyle w:val="9"/>
        <w:spacing w:beforeLines="50" w:line="280" w:lineRule="exact"/>
        <w:ind w:firstLine="420" w:firstLineChars="200"/>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3 \* GB3 </w:instrText>
      </w:r>
      <w:r>
        <w:rPr>
          <w:rFonts w:ascii="Times New Roman" w:hAnsi="Times New Roman"/>
          <w:sz w:val="21"/>
          <w:szCs w:val="21"/>
        </w:rPr>
        <w:fldChar w:fldCharType="separate"/>
      </w:r>
      <w:r>
        <w:rPr>
          <w:rFonts w:ascii="Times New Roman" w:hAnsi="Times New Roman"/>
          <w:sz w:val="21"/>
          <w:szCs w:val="21"/>
        </w:rPr>
        <w:t>③</w:t>
      </w:r>
      <w:r>
        <w:rPr>
          <w:rFonts w:ascii="Times New Roman" w:hAnsi="Times New Roman"/>
          <w:sz w:val="21"/>
          <w:szCs w:val="21"/>
        </w:rPr>
        <w:fldChar w:fldCharType="end"/>
      </w:r>
      <w:r>
        <w:rPr>
          <w:rFonts w:ascii="Times New Roman" w:hAnsi="Times New Roman"/>
          <w:sz w:val="21"/>
          <w:szCs w:val="21"/>
        </w:rPr>
        <w:t xml:space="preserve"> 关节功能的丧失指关节永久完全僵硬、或麻痹、或关节不能随意识活动。</w:t>
      </w:r>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57" w:name="_Toc356463499"/>
      <w:r>
        <w:rPr>
          <w:rFonts w:ascii="Times New Roman"/>
          <w:sz w:val="21"/>
          <w:szCs w:val="21"/>
        </w:rPr>
        <w:t>脊柱结构损伤和关节活动功能障碍</w:t>
      </w:r>
      <w:bookmarkEnd w:id="57"/>
    </w:p>
    <w:p>
      <w:pPr>
        <w:pStyle w:val="9"/>
        <w:spacing w:beforeLines="50" w:line="280" w:lineRule="exact"/>
        <w:rPr>
          <w:rFonts w:ascii="Times New Roman" w:hAnsi="Times New Roman"/>
          <w:sz w:val="21"/>
          <w:szCs w:val="21"/>
        </w:rPr>
      </w:pPr>
      <w:r>
        <w:rPr>
          <w:rFonts w:ascii="Times New Roman" w:hAnsi="Times New Roman"/>
          <w:sz w:val="21"/>
          <w:szCs w:val="21"/>
        </w:rPr>
        <w:t>本标准中的脊柱结构损伤是指颈椎或腰椎的骨折脱位，本标准中的关节活动功能障碍是指颈部或腰部活动度丧失。</w:t>
      </w:r>
    </w:p>
    <w:tbl>
      <w:tblPr>
        <w:tblStyle w:val="6"/>
        <w:tblW w:w="0" w:type="auto"/>
        <w:jc w:val="center"/>
        <w:tblLayout w:type="fixed"/>
        <w:tblCellMar>
          <w:top w:w="0" w:type="dxa"/>
          <w:left w:w="108" w:type="dxa"/>
          <w:bottom w:w="0" w:type="dxa"/>
          <w:right w:w="108" w:type="dxa"/>
        </w:tblCellMar>
      </w:tblPr>
      <w:tblGrid>
        <w:gridCol w:w="7122"/>
        <w:gridCol w:w="1166"/>
      </w:tblGrid>
      <w:tr>
        <w:tblPrEx>
          <w:tblCellMar>
            <w:top w:w="0" w:type="dxa"/>
            <w:left w:w="108" w:type="dxa"/>
            <w:bottom w:w="0" w:type="dxa"/>
            <w:right w:w="108" w:type="dxa"/>
          </w:tblCellMar>
        </w:tblPrEx>
        <w:trPr>
          <w:trHeight w:val="284" w:hRule="atLeast"/>
          <w:jc w:val="center"/>
        </w:trPr>
        <w:tc>
          <w:tcPr>
            <w:tcW w:w="7122"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脊柱骨折脱位导致颈椎或腰椎畸形愈合，且颈部或腰部活动度丧失大于等于75%</w:t>
            </w:r>
          </w:p>
        </w:tc>
        <w:tc>
          <w:tcPr>
            <w:tcW w:w="1166"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CellMar>
            <w:top w:w="0" w:type="dxa"/>
            <w:left w:w="108" w:type="dxa"/>
            <w:bottom w:w="0" w:type="dxa"/>
            <w:right w:w="108" w:type="dxa"/>
          </w:tblCellMar>
        </w:tblPrEx>
        <w:trPr>
          <w:trHeight w:val="284" w:hRule="atLeast"/>
          <w:jc w:val="center"/>
        </w:trPr>
        <w:tc>
          <w:tcPr>
            <w:tcW w:w="7122"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脊柱骨折脱位导致颈椎或腰椎畸形愈合，且颈部或腰部活动度丧失大于等于50%</w:t>
            </w:r>
          </w:p>
        </w:tc>
        <w:tc>
          <w:tcPr>
            <w:tcW w:w="1166"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CellMar>
            <w:top w:w="0" w:type="dxa"/>
            <w:left w:w="108" w:type="dxa"/>
            <w:bottom w:w="0" w:type="dxa"/>
            <w:right w:w="108" w:type="dxa"/>
          </w:tblCellMar>
        </w:tblPrEx>
        <w:trPr>
          <w:trHeight w:val="284" w:hRule="atLeast"/>
          <w:jc w:val="center"/>
        </w:trPr>
        <w:tc>
          <w:tcPr>
            <w:tcW w:w="7122"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脊柱骨折脱位导致颈椎或腰椎畸形愈合，且颈部或腰部活动度丧失大于等于25%</w:t>
            </w:r>
          </w:p>
        </w:tc>
        <w:tc>
          <w:tcPr>
            <w:tcW w:w="1166"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bl>
    <w:p>
      <w:pPr>
        <w:pStyle w:val="4"/>
        <w:keepNext w:val="0"/>
        <w:keepLines w:val="0"/>
        <w:widowControl/>
        <w:numPr>
          <w:ilvl w:val="1"/>
          <w:numId w:val="1"/>
        </w:numPr>
        <w:autoSpaceDE/>
        <w:autoSpaceDN/>
        <w:snapToGrid/>
        <w:spacing w:beforeLines="30" w:after="0" w:line="240" w:lineRule="auto"/>
        <w:ind w:left="0" w:firstLine="0"/>
        <w:contextualSpacing/>
        <w:jc w:val="left"/>
        <w:rPr>
          <w:rFonts w:ascii="Times New Roman"/>
          <w:sz w:val="21"/>
          <w:szCs w:val="21"/>
        </w:rPr>
      </w:pPr>
      <w:bookmarkStart w:id="58" w:name="_Toc349832779"/>
      <w:bookmarkEnd w:id="58"/>
      <w:bookmarkStart w:id="59" w:name="_Toc349826845"/>
      <w:bookmarkEnd w:id="59"/>
      <w:bookmarkStart w:id="60" w:name="_Toc349833830"/>
      <w:bookmarkEnd w:id="60"/>
      <w:bookmarkStart w:id="61" w:name="_Toc349827001"/>
      <w:bookmarkEnd w:id="61"/>
      <w:bookmarkStart w:id="62" w:name="_Toc349833434"/>
      <w:bookmarkEnd w:id="62"/>
      <w:bookmarkStart w:id="63" w:name="_Toc356463500"/>
      <w:r>
        <w:rPr>
          <w:rFonts w:ascii="Times New Roman"/>
          <w:sz w:val="21"/>
          <w:szCs w:val="21"/>
        </w:rPr>
        <w:t>肌肉力量功能障碍</w:t>
      </w:r>
      <w:bookmarkEnd w:id="63"/>
    </w:p>
    <w:p>
      <w:pPr>
        <w:pStyle w:val="9"/>
        <w:spacing w:beforeLines="50" w:line="280" w:lineRule="exact"/>
        <w:rPr>
          <w:rFonts w:ascii="Times New Roman" w:hAnsi="Times New Roman"/>
          <w:sz w:val="21"/>
          <w:szCs w:val="21"/>
        </w:rPr>
      </w:pPr>
      <w:r>
        <w:rPr>
          <w:rFonts w:ascii="Times New Roman" w:hAnsi="Times New Roman"/>
          <w:sz w:val="21"/>
          <w:szCs w:val="21"/>
        </w:rPr>
        <w:t>肌肉力量功能是指与肌肉或肌群收缩产生力量有关的功能。本标准中的肌肉力量功能障碍是指四肢瘫、偏瘫、截瘫或单瘫。</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四肢瘫（三肢以上肌力小于等于3级)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截瘫(肌力小于等于2级)且大便和小便失禁</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四肢瘫（二肢以上肌力小于等于2级)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偏瘫（肌力小于等于2级)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截瘫（肌力小于等于2级)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四肢瘫（二肢以上肌力小于等于3级)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偏瘫（肌力小于等于3级)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截瘫（肌力小于等于3级)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四肢瘫（二肢以上肌力小于等于4级)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偏瘫（一肢肌力小于等于2级)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截瘫（一肢肌力小于等于2级)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单瘫（肌力小于等于2级)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偏瘫（一肢肌力小于等于3级)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截瘫（一肢肌力小于等于3级)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单瘫（肌力小于等于3级)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偏瘫（一肢肌力小于等于4级)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截瘫（一肢肌力小于等于4级)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4" w:type="dxa"/>
            <w:vAlign w:val="center"/>
          </w:tcPr>
          <w:p>
            <w:pPr>
              <w:pStyle w:val="10"/>
              <w:spacing w:line="240" w:lineRule="exact"/>
              <w:rPr>
                <w:rFonts w:ascii="Times New Roman" w:hAnsi="Times New Roman"/>
                <w:sz w:val="21"/>
                <w:szCs w:val="21"/>
              </w:rPr>
            </w:pPr>
            <w:r>
              <w:rPr>
                <w:rFonts w:ascii="Times New Roman" w:hAnsi="Times New Roman"/>
                <w:sz w:val="21"/>
                <w:szCs w:val="21"/>
              </w:rPr>
              <w:t>单瘫（肌力小于等于4级)</w:t>
            </w:r>
          </w:p>
        </w:tc>
        <w:tc>
          <w:tcPr>
            <w:tcW w:w="1337" w:type="dxa"/>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w:t>
      </w:r>
      <w:r>
        <w:rPr>
          <w:rFonts w:ascii="Times New Roman" w:hAnsi="Times New Roman"/>
          <w:sz w:val="21"/>
          <w:szCs w:val="21"/>
        </w:rPr>
        <w:fldChar w:fldCharType="begin"/>
      </w:r>
      <w:r>
        <w:rPr>
          <w:rFonts w:ascii="Times New Roman" w:hAnsi="Times New Roman"/>
          <w:sz w:val="21"/>
          <w:szCs w:val="21"/>
        </w:rPr>
        <w:instrText xml:space="preserve"> = 1 \* GB3 </w:instrText>
      </w:r>
      <w:r>
        <w:rPr>
          <w:rFonts w:ascii="Times New Roman" w:hAnsi="Times New Roman"/>
          <w:sz w:val="21"/>
          <w:szCs w:val="21"/>
        </w:rPr>
        <w:fldChar w:fldCharType="separate"/>
      </w:r>
      <w:r>
        <w:rPr>
          <w:rFonts w:ascii="Times New Roman" w:hAnsi="Times New Roman"/>
          <w:sz w:val="21"/>
          <w:szCs w:val="21"/>
        </w:rPr>
        <w:t>①</w:t>
      </w:r>
      <w:r>
        <w:rPr>
          <w:rFonts w:ascii="Times New Roman" w:hAnsi="Times New Roman"/>
          <w:sz w:val="21"/>
          <w:szCs w:val="21"/>
        </w:rPr>
        <w:fldChar w:fldCharType="end"/>
      </w:r>
      <w:r>
        <w:rPr>
          <w:rFonts w:ascii="Times New Roman" w:hAnsi="Times New Roman"/>
          <w:sz w:val="21"/>
          <w:szCs w:val="21"/>
        </w:rPr>
        <w:t xml:space="preserve"> 偏瘫指一侧上下肢的瘫痪。</w:t>
      </w:r>
    </w:p>
    <w:p>
      <w:pPr>
        <w:pStyle w:val="9"/>
        <w:spacing w:beforeLines="50" w:line="280" w:lineRule="exact"/>
        <w:ind w:firstLine="420" w:firstLineChars="200"/>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2 \* GB3 </w:instrText>
      </w:r>
      <w:r>
        <w:rPr>
          <w:rFonts w:ascii="Times New Roman" w:hAnsi="Times New Roman"/>
          <w:sz w:val="21"/>
          <w:szCs w:val="21"/>
        </w:rPr>
        <w:fldChar w:fldCharType="separate"/>
      </w:r>
      <w:r>
        <w:rPr>
          <w:rFonts w:ascii="Times New Roman" w:hAnsi="Times New Roman"/>
          <w:sz w:val="21"/>
          <w:szCs w:val="21"/>
        </w:rPr>
        <w:t>②</w:t>
      </w:r>
      <w:r>
        <w:rPr>
          <w:rFonts w:ascii="Times New Roman" w:hAnsi="Times New Roman"/>
          <w:sz w:val="21"/>
          <w:szCs w:val="21"/>
        </w:rPr>
        <w:fldChar w:fldCharType="end"/>
      </w:r>
      <w:r>
        <w:rPr>
          <w:rFonts w:ascii="Times New Roman" w:hAnsi="Times New Roman"/>
          <w:sz w:val="21"/>
          <w:szCs w:val="21"/>
        </w:rPr>
        <w:t xml:space="preserve"> 截瘫指脊髓损伤后，受伤平面以下双侧肢体感觉、运动、反射等消失和膀胱、肛门括约肌功能丧失的病症。</w:t>
      </w:r>
    </w:p>
    <w:p>
      <w:pPr>
        <w:pStyle w:val="9"/>
        <w:spacing w:beforeLines="50" w:line="280" w:lineRule="exact"/>
        <w:ind w:firstLine="420" w:firstLineChars="200"/>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3 \* GB3 </w:instrText>
      </w:r>
      <w:r>
        <w:rPr>
          <w:rFonts w:ascii="Times New Roman" w:hAnsi="Times New Roman"/>
          <w:sz w:val="21"/>
          <w:szCs w:val="21"/>
        </w:rPr>
        <w:fldChar w:fldCharType="separate"/>
      </w:r>
      <w:r>
        <w:rPr>
          <w:rFonts w:ascii="Times New Roman" w:hAnsi="Times New Roman"/>
          <w:sz w:val="21"/>
          <w:szCs w:val="21"/>
        </w:rPr>
        <w:t>③</w:t>
      </w:r>
      <w:r>
        <w:rPr>
          <w:rFonts w:ascii="Times New Roman" w:hAnsi="Times New Roman"/>
          <w:sz w:val="21"/>
          <w:szCs w:val="21"/>
        </w:rPr>
        <w:fldChar w:fldCharType="end"/>
      </w:r>
      <w:r>
        <w:rPr>
          <w:rFonts w:ascii="Times New Roman" w:hAnsi="Times New Roman"/>
          <w:sz w:val="21"/>
          <w:szCs w:val="21"/>
        </w:rPr>
        <w:t xml:space="preserve"> 单瘫指一个肢体或肢体的某一部分瘫痪。</w:t>
      </w:r>
    </w:p>
    <w:p>
      <w:pPr>
        <w:pStyle w:val="9"/>
        <w:spacing w:beforeLines="50" w:line="280" w:lineRule="exact"/>
        <w:ind w:firstLine="420" w:firstLineChars="200"/>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4 \* GB3 </w:instrText>
      </w:r>
      <w:r>
        <w:rPr>
          <w:rFonts w:ascii="Times New Roman" w:hAnsi="Times New Roman"/>
          <w:sz w:val="21"/>
          <w:szCs w:val="21"/>
        </w:rPr>
        <w:fldChar w:fldCharType="separate"/>
      </w:r>
      <w:r>
        <w:rPr>
          <w:rFonts w:ascii="Times New Roman" w:hAnsi="Times New Roman"/>
          <w:sz w:val="21"/>
          <w:szCs w:val="21"/>
        </w:rPr>
        <w:t>④</w:t>
      </w:r>
      <w:r>
        <w:rPr>
          <w:rFonts w:ascii="Times New Roman" w:hAnsi="Times New Roman"/>
          <w:sz w:val="21"/>
          <w:szCs w:val="21"/>
        </w:rPr>
        <w:fldChar w:fldCharType="end"/>
      </w:r>
      <w:r>
        <w:rPr>
          <w:rFonts w:ascii="Times New Roman" w:hAnsi="Times New Roman"/>
          <w:sz w:val="21"/>
          <w:szCs w:val="21"/>
        </w:rPr>
        <w:t xml:space="preserve"> 肌力：为判断肢体瘫痪程度，将肌力分级划分为0-5级。</w:t>
      </w:r>
    </w:p>
    <w:p>
      <w:pPr>
        <w:pStyle w:val="9"/>
        <w:spacing w:beforeLines="50" w:line="280" w:lineRule="exact"/>
        <w:ind w:firstLine="720"/>
        <w:rPr>
          <w:rFonts w:ascii="Times New Roman" w:hAnsi="Times New Roman"/>
          <w:sz w:val="21"/>
          <w:szCs w:val="21"/>
        </w:rPr>
      </w:pPr>
      <w:r>
        <w:rPr>
          <w:rFonts w:ascii="Times New Roman" w:hAnsi="Times New Roman"/>
          <w:sz w:val="21"/>
          <w:szCs w:val="21"/>
        </w:rPr>
        <w:t xml:space="preserve">    0级：肌肉完全瘫痪，毫无收缩。</w:t>
      </w:r>
    </w:p>
    <w:p>
      <w:pPr>
        <w:pStyle w:val="9"/>
        <w:spacing w:beforeLines="50" w:line="280" w:lineRule="exact"/>
        <w:rPr>
          <w:rFonts w:ascii="Times New Roman" w:hAnsi="Times New Roman"/>
          <w:sz w:val="21"/>
          <w:szCs w:val="21"/>
        </w:rPr>
      </w:pPr>
      <w:r>
        <w:rPr>
          <w:rFonts w:ascii="Times New Roman" w:hAnsi="Times New Roman"/>
          <w:sz w:val="21"/>
          <w:szCs w:val="21"/>
        </w:rPr>
        <w:t>　  　     1级：可看到或触及肌肉轻微收缩，但不能产生动作。</w:t>
      </w:r>
    </w:p>
    <w:p>
      <w:pPr>
        <w:pStyle w:val="9"/>
        <w:spacing w:beforeLines="50" w:line="280" w:lineRule="exact"/>
        <w:ind w:left="1695" w:hanging="1736" w:hangingChars="827"/>
        <w:rPr>
          <w:rFonts w:ascii="Times New Roman" w:hAnsi="Times New Roman"/>
          <w:sz w:val="21"/>
          <w:szCs w:val="21"/>
        </w:rPr>
      </w:pPr>
      <w:r>
        <w:rPr>
          <w:rFonts w:ascii="Times New Roman" w:hAnsi="Times New Roman"/>
          <w:sz w:val="21"/>
          <w:szCs w:val="21"/>
        </w:rPr>
        <w:t>　　       2级：肌肉在不受重力影响下，可进行运动，即肢体能在床面上移动，但不能抬高。</w:t>
      </w:r>
    </w:p>
    <w:p>
      <w:pPr>
        <w:pStyle w:val="9"/>
        <w:spacing w:beforeLines="50" w:line="280" w:lineRule="exact"/>
        <w:ind w:left="1695" w:hanging="1736" w:hangingChars="827"/>
        <w:rPr>
          <w:rFonts w:ascii="Times New Roman" w:hAnsi="Times New Roman"/>
          <w:sz w:val="21"/>
          <w:szCs w:val="21"/>
        </w:rPr>
      </w:pPr>
      <w:r>
        <w:rPr>
          <w:rFonts w:ascii="Times New Roman" w:hAnsi="Times New Roman"/>
          <w:sz w:val="21"/>
          <w:szCs w:val="21"/>
        </w:rPr>
        <w:t>　　       3级：在和地心引力相反的方向中尚能完成其动作，但不能对抗外加的阻力。</w:t>
      </w:r>
    </w:p>
    <w:p>
      <w:pPr>
        <w:pStyle w:val="9"/>
        <w:spacing w:beforeLines="50" w:line="280" w:lineRule="exact"/>
        <w:rPr>
          <w:rFonts w:ascii="Times New Roman" w:hAnsi="Times New Roman"/>
          <w:sz w:val="21"/>
          <w:szCs w:val="21"/>
        </w:rPr>
      </w:pPr>
      <w:r>
        <w:rPr>
          <w:rFonts w:ascii="Times New Roman" w:hAnsi="Times New Roman"/>
          <w:sz w:val="21"/>
          <w:szCs w:val="21"/>
        </w:rPr>
        <w:t>　　       4级：能对抗一定的阻力，但较正常人为低。</w:t>
      </w:r>
    </w:p>
    <w:p>
      <w:pPr>
        <w:pStyle w:val="9"/>
        <w:spacing w:beforeLines="50" w:line="280" w:lineRule="exact"/>
        <w:rPr>
          <w:rFonts w:ascii="Times New Roman" w:hAnsi="Times New Roman"/>
          <w:sz w:val="21"/>
          <w:szCs w:val="21"/>
        </w:rPr>
      </w:pPr>
      <w:r>
        <w:rPr>
          <w:rFonts w:ascii="Times New Roman" w:hAnsi="Times New Roman"/>
          <w:sz w:val="21"/>
          <w:szCs w:val="21"/>
        </w:rPr>
        <w:t>　　       5级：正常肌力。</w:t>
      </w:r>
    </w:p>
    <w:p>
      <w:pPr>
        <w:spacing w:line="240" w:lineRule="exact"/>
        <w:contextualSpacing/>
        <w:rPr>
          <w:rFonts w:ascii="Times New Roman"/>
          <w:szCs w:val="21"/>
        </w:rPr>
      </w:pPr>
    </w:p>
    <w:p>
      <w:pPr>
        <w:pStyle w:val="3"/>
        <w:keepNext w:val="0"/>
        <w:keepLines w:val="0"/>
        <w:widowControl/>
        <w:numPr>
          <w:ilvl w:val="0"/>
          <w:numId w:val="1"/>
        </w:numPr>
        <w:autoSpaceDE/>
        <w:autoSpaceDN/>
        <w:snapToGrid/>
        <w:spacing w:before="0" w:after="0" w:line="240" w:lineRule="auto"/>
        <w:contextualSpacing/>
        <w:jc w:val="left"/>
        <w:rPr>
          <w:rFonts w:ascii="Times New Roman" w:hAnsi="Times New Roman" w:cs="Times New Roman"/>
          <w:sz w:val="21"/>
          <w:szCs w:val="21"/>
        </w:rPr>
      </w:pPr>
      <w:bookmarkStart w:id="64" w:name="_Toc356463501"/>
      <w:r>
        <w:rPr>
          <w:rFonts w:ascii="Times New Roman" w:hAnsi="Times New Roman" w:cs="Times New Roman"/>
          <w:sz w:val="21"/>
          <w:szCs w:val="21"/>
        </w:rPr>
        <w:t>皮肤和有关的结构和功能</w:t>
      </w:r>
      <w:bookmarkEnd w:id="64"/>
    </w:p>
    <w:p>
      <w:pPr>
        <w:pStyle w:val="4"/>
        <w:keepNext w:val="0"/>
        <w:keepLines w:val="0"/>
        <w:widowControl/>
        <w:numPr>
          <w:ilvl w:val="1"/>
          <w:numId w:val="1"/>
        </w:numPr>
        <w:autoSpaceDE/>
        <w:autoSpaceDN/>
        <w:snapToGrid/>
        <w:spacing w:before="0" w:after="0" w:line="240" w:lineRule="auto"/>
        <w:ind w:left="0" w:firstLine="0"/>
        <w:contextualSpacing/>
        <w:jc w:val="left"/>
        <w:rPr>
          <w:rFonts w:ascii="Times New Roman"/>
          <w:sz w:val="21"/>
          <w:szCs w:val="21"/>
        </w:rPr>
      </w:pPr>
      <w:bookmarkStart w:id="65" w:name="_Toc356463502"/>
      <w:r>
        <w:rPr>
          <w:rFonts w:ascii="Times New Roman"/>
          <w:sz w:val="21"/>
          <w:szCs w:val="21"/>
        </w:rPr>
        <w:t>头颈部皮肤结构损伤和修复功能障碍</w:t>
      </w:r>
      <w:bookmarkEnd w:id="65"/>
    </w:p>
    <w:p>
      <w:pPr>
        <w:pStyle w:val="9"/>
        <w:spacing w:beforeLines="50" w:line="280" w:lineRule="exact"/>
        <w:rPr>
          <w:rFonts w:ascii="Times New Roman" w:hAnsi="Times New Roman"/>
          <w:sz w:val="21"/>
          <w:szCs w:val="21"/>
        </w:rPr>
      </w:pPr>
      <w:r>
        <w:rPr>
          <w:rFonts w:ascii="Times New Roman" w:hAnsi="Times New Roman"/>
          <w:sz w:val="21"/>
          <w:szCs w:val="21"/>
        </w:rPr>
        <w:t>皮肤的修复功能是指修复皮肤破损和其他损伤的功能。本标准中的皮肤修复功能障碍是指瘢痕形成。</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2"/>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头颈部III度烧伤，面积大于等于全身体表面积的8%</w:t>
            </w:r>
          </w:p>
        </w:tc>
        <w:tc>
          <w:tcPr>
            <w:tcW w:w="1286"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面部皮肤损伤导致瘢痕形成，且瘢痕面积大于等于面部皮肤面积的90%</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颈部皮肤损伤导致瘢痕形成，颈部活动度完全丧失</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面部皮肤损伤导致瘢痕形成，且瘢痕面积大于等于面部皮肤面积的80%</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颈部皮肤损伤导致瘢痕形成，颈部活动度丧失大于等于75%</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面部皮肤损伤导致瘢痕形成，且瘢痕面积大于等于面部皮肤面积的60%</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tcBorders>
              <w:top w:val="single" w:color="auto" w:sz="4" w:space="0"/>
              <w:left w:val="single" w:color="auto" w:sz="4" w:space="0"/>
              <w:bottom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头颈部III度烧伤，面积大于等于全身体表面积的5%，且小于8%</w:t>
            </w:r>
          </w:p>
        </w:tc>
        <w:tc>
          <w:tcPr>
            <w:tcW w:w="1286" w:type="dxa"/>
            <w:tcBorders>
              <w:bottom w:val="single" w:color="auto" w:sz="4" w:space="0"/>
            </w:tcBorders>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颈部皮肤损伤导致瘢痕形成，颈部活动度丧失大于等于50%</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面部皮肤损伤导致瘢痕形成，且瘢痕面积大于等于面部皮肤面积的40%</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面部皮肤损伤导致瘢痕形成，且瘢痕面积大于等于面部皮肤面积的20%</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tcBorders>
              <w:top w:val="single" w:color="auto" w:sz="4" w:space="0"/>
              <w:left w:val="single" w:color="auto" w:sz="4" w:space="0"/>
              <w:bottom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头部撕脱伤后导致头皮缺失，面积大于等于头皮面积的20%</w:t>
            </w:r>
          </w:p>
        </w:tc>
        <w:tc>
          <w:tcPr>
            <w:tcW w:w="1286" w:type="dxa"/>
            <w:tcBorders>
              <w:bottom w:val="single" w:color="auto" w:sz="4" w:space="0"/>
            </w:tcBorders>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颈部皮肤损伤导致颈前三角区瘢痕形成，且瘢痕面积大于等于颈前三角区面积的75%</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面部皮肤损伤导致瘢痕形成，且瘢痕面积大于等于24cm</w:t>
            </w:r>
            <w:r>
              <w:rPr>
                <w:rFonts w:ascii="Times New Roman" w:hAnsi="Times New Roman"/>
                <w:sz w:val="21"/>
                <w:szCs w:val="21"/>
                <w:vertAlign w:val="superscript"/>
              </w:rPr>
              <w:t>2</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tcBorders>
              <w:top w:val="single" w:color="auto" w:sz="4" w:space="0"/>
              <w:left w:val="single" w:color="auto" w:sz="4" w:space="0"/>
              <w:bottom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头颈部III度烧伤，面积大于等于全身体表面积的2%，且小于5%</w:t>
            </w:r>
          </w:p>
        </w:tc>
        <w:tc>
          <w:tcPr>
            <w:tcW w:w="1286" w:type="dxa"/>
            <w:tcBorders>
              <w:bottom w:val="single" w:color="auto" w:sz="4" w:space="0"/>
            </w:tcBorders>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颈部皮肤损伤导致颈前三角区瘢痕形成，且瘢痕面积大于等于颈前三角区面积的50%</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面部皮肤损伤导致瘢痕形成，且瘢痕面积大于等于18cm</w:t>
            </w:r>
            <w:r>
              <w:rPr>
                <w:rFonts w:ascii="Times New Roman" w:hAnsi="Times New Roman"/>
                <w:sz w:val="21"/>
                <w:szCs w:val="21"/>
                <w:vertAlign w:val="superscript"/>
              </w:rPr>
              <w:t>2</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面部皮肤损伤导致瘢痕形成，且瘢痕面积大于等于12cm</w:t>
            </w:r>
            <w:r>
              <w:rPr>
                <w:rFonts w:ascii="Times New Roman" w:hAnsi="Times New Roman"/>
                <w:sz w:val="21"/>
                <w:szCs w:val="21"/>
                <w:vertAlign w:val="superscript"/>
              </w:rPr>
              <w:t>2</w:t>
            </w:r>
            <w:r>
              <w:rPr>
                <w:rFonts w:ascii="Times New Roman" w:hAnsi="Times New Roman"/>
                <w:sz w:val="21"/>
                <w:szCs w:val="21"/>
              </w:rPr>
              <w:t>或面部线条状瘢痕大于等于20cm</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2" w:type="dxa"/>
            <w:vAlign w:val="center"/>
          </w:tcPr>
          <w:p>
            <w:pPr>
              <w:pStyle w:val="10"/>
              <w:spacing w:line="240" w:lineRule="exact"/>
              <w:rPr>
                <w:rFonts w:ascii="Times New Roman" w:hAnsi="Times New Roman"/>
                <w:sz w:val="21"/>
                <w:szCs w:val="21"/>
              </w:rPr>
            </w:pPr>
            <w:r>
              <w:rPr>
                <w:rFonts w:ascii="Times New Roman" w:hAnsi="Times New Roman"/>
                <w:sz w:val="21"/>
                <w:szCs w:val="21"/>
              </w:rPr>
              <w:t>面部皮肤损伤导致瘢痕形成，且瘢痕面积大于等于6cm</w:t>
            </w:r>
            <w:r>
              <w:rPr>
                <w:rFonts w:ascii="Times New Roman" w:hAnsi="Times New Roman"/>
                <w:sz w:val="21"/>
                <w:szCs w:val="21"/>
                <w:vertAlign w:val="superscript"/>
              </w:rPr>
              <w:t>2</w:t>
            </w:r>
            <w:r>
              <w:rPr>
                <w:rFonts w:ascii="Times New Roman" w:hAnsi="Times New Roman"/>
                <w:sz w:val="21"/>
                <w:szCs w:val="21"/>
              </w:rPr>
              <w:t>或面部线条状瘢痕大于等于10cm</w:t>
            </w:r>
          </w:p>
        </w:tc>
        <w:tc>
          <w:tcPr>
            <w:tcW w:w="1286" w:type="dxa"/>
            <w:vAlign w:val="center"/>
          </w:tcPr>
          <w:p>
            <w:pPr>
              <w:pStyle w:val="10"/>
              <w:spacing w:line="240" w:lineRule="exact"/>
              <w:jc w:val="center"/>
              <w:rPr>
                <w:rFonts w:ascii="Times New Roman" w:hAnsi="Times New Roman"/>
                <w:color w:val="000000"/>
                <w:sz w:val="21"/>
                <w:szCs w:val="21"/>
              </w:rPr>
            </w:pPr>
            <w:r>
              <w:rPr>
                <w:rFonts w:ascii="Times New Roman" w:hAnsi="Times New Roman"/>
                <w:color w:val="000000"/>
                <w:sz w:val="21"/>
                <w:szCs w:val="21"/>
              </w:rPr>
              <w:t>10级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w:t>
      </w:r>
      <w:r>
        <w:rPr>
          <w:rFonts w:ascii="Times New Roman" w:hAnsi="Times New Roman"/>
          <w:sz w:val="21"/>
          <w:szCs w:val="21"/>
        </w:rPr>
        <w:fldChar w:fldCharType="begin"/>
      </w:r>
      <w:r>
        <w:rPr>
          <w:rFonts w:ascii="Times New Roman" w:hAnsi="Times New Roman"/>
          <w:sz w:val="21"/>
          <w:szCs w:val="21"/>
        </w:rPr>
        <w:instrText xml:space="preserve"> = 1 \* GB3 </w:instrText>
      </w:r>
      <w:r>
        <w:rPr>
          <w:rFonts w:ascii="Times New Roman" w:hAnsi="Times New Roman"/>
          <w:sz w:val="21"/>
          <w:szCs w:val="21"/>
        </w:rPr>
        <w:fldChar w:fldCharType="separate"/>
      </w:r>
      <w:r>
        <w:rPr>
          <w:rFonts w:ascii="Times New Roman" w:hAnsi="Times New Roman"/>
          <w:sz w:val="21"/>
          <w:szCs w:val="21"/>
        </w:rPr>
        <w:t>①</w:t>
      </w:r>
      <w:r>
        <w:rPr>
          <w:rFonts w:ascii="Times New Roman" w:hAnsi="Times New Roman"/>
          <w:sz w:val="21"/>
          <w:szCs w:val="21"/>
        </w:rPr>
        <w:fldChar w:fldCharType="end"/>
      </w:r>
      <w:r>
        <w:rPr>
          <w:rFonts w:ascii="Times New Roman" w:hAnsi="Times New Roman"/>
          <w:sz w:val="21"/>
          <w:szCs w:val="21"/>
        </w:rPr>
        <w:t xml:space="preserve"> 瘢痕：指创面愈合后的增生性瘢痕，不包括皮肤平整、无明显质地改变的萎缩性瘢痕或疤痕。</w:t>
      </w:r>
    </w:p>
    <w:p>
      <w:pPr>
        <w:pStyle w:val="9"/>
        <w:spacing w:beforeLines="50" w:line="280" w:lineRule="exact"/>
        <w:ind w:firstLine="417" w:firstLineChars="199"/>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2 \* GB3 </w:instrText>
      </w:r>
      <w:r>
        <w:rPr>
          <w:rFonts w:ascii="Times New Roman" w:hAnsi="Times New Roman"/>
          <w:sz w:val="21"/>
          <w:szCs w:val="21"/>
        </w:rPr>
        <w:fldChar w:fldCharType="separate"/>
      </w:r>
      <w:r>
        <w:rPr>
          <w:rFonts w:ascii="Times New Roman" w:hAnsi="Times New Roman"/>
          <w:sz w:val="21"/>
          <w:szCs w:val="21"/>
        </w:rPr>
        <w:t>②</w:t>
      </w:r>
      <w:r>
        <w:rPr>
          <w:rFonts w:ascii="Times New Roman" w:hAnsi="Times New Roman"/>
          <w:sz w:val="21"/>
          <w:szCs w:val="21"/>
        </w:rPr>
        <w:fldChar w:fldCharType="end"/>
      </w:r>
      <w:r>
        <w:rPr>
          <w:rFonts w:ascii="Times New Roman" w:hAnsi="Times New Roman"/>
          <w:sz w:val="21"/>
          <w:szCs w:val="21"/>
        </w:rPr>
        <w:t xml:space="preserve"> 面部的范围和瘢痕面积的计算：面部的范围指上至发际、下至下颌下缘、两侧至下颌支后缘之间的区域，包括额部、眼部、眶部、鼻部、口唇部、颏部、颧部、颊部和腮腺咬肌部。面部瘢痕面积的计算采用全面部和5等分面部以及实测瘢痕面积的方法，分别计算瘢痕面积。面部多处瘢痕，其面积可以累加计算。</w:t>
      </w:r>
    </w:p>
    <w:p>
      <w:pPr>
        <w:pStyle w:val="9"/>
        <w:spacing w:beforeLines="50" w:line="280" w:lineRule="exact"/>
        <w:ind w:firstLine="420" w:firstLineChars="200"/>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 3 \* GB3 </w:instrText>
      </w:r>
      <w:r>
        <w:rPr>
          <w:rFonts w:ascii="Times New Roman" w:hAnsi="Times New Roman"/>
          <w:sz w:val="21"/>
          <w:szCs w:val="21"/>
        </w:rPr>
        <w:fldChar w:fldCharType="separate"/>
      </w:r>
      <w:r>
        <w:rPr>
          <w:rFonts w:ascii="Times New Roman" w:hAnsi="Times New Roman"/>
          <w:sz w:val="21"/>
          <w:szCs w:val="21"/>
        </w:rPr>
        <w:t>③</w:t>
      </w:r>
      <w:r>
        <w:rPr>
          <w:rFonts w:ascii="Times New Roman" w:hAnsi="Times New Roman"/>
          <w:sz w:val="21"/>
          <w:szCs w:val="21"/>
        </w:rPr>
        <w:fldChar w:fldCharType="end"/>
      </w:r>
      <w:r>
        <w:rPr>
          <w:rFonts w:ascii="Times New Roman" w:hAnsi="Times New Roman"/>
          <w:sz w:val="21"/>
          <w:szCs w:val="21"/>
        </w:rPr>
        <w:t xml:space="preserve"> 颈前三角区：两边为胸锁乳突肌前缘，底为舌骨体上缘及下颌骨下缘。</w:t>
      </w:r>
    </w:p>
    <w:p>
      <w:pPr>
        <w:pStyle w:val="4"/>
        <w:keepNext w:val="0"/>
        <w:keepLines w:val="0"/>
        <w:widowControl/>
        <w:numPr>
          <w:ilvl w:val="1"/>
          <w:numId w:val="1"/>
        </w:numPr>
        <w:autoSpaceDE/>
        <w:autoSpaceDN/>
        <w:snapToGrid/>
        <w:spacing w:beforeLines="30" w:afterLines="30" w:line="240" w:lineRule="auto"/>
        <w:ind w:left="0" w:firstLine="0"/>
        <w:contextualSpacing/>
        <w:jc w:val="left"/>
        <w:rPr>
          <w:rFonts w:ascii="Times New Roman"/>
          <w:sz w:val="21"/>
          <w:szCs w:val="21"/>
        </w:rPr>
      </w:pPr>
      <w:bookmarkStart w:id="66" w:name="_Toc356463503"/>
      <w:r>
        <w:rPr>
          <w:rFonts w:ascii="Times New Roman"/>
          <w:sz w:val="21"/>
          <w:szCs w:val="21"/>
        </w:rPr>
        <w:t>各部位皮肤结构损伤和修复功能障碍</w:t>
      </w:r>
      <w:bookmarkEnd w:id="66"/>
    </w:p>
    <w:tbl>
      <w:tblPr>
        <w:tblStyle w:val="6"/>
        <w:tblW w:w="0" w:type="auto"/>
        <w:jc w:val="center"/>
        <w:tblLayout w:type="fixed"/>
        <w:tblCellMar>
          <w:top w:w="0" w:type="dxa"/>
          <w:left w:w="108" w:type="dxa"/>
          <w:bottom w:w="0" w:type="dxa"/>
          <w:right w:w="108" w:type="dxa"/>
        </w:tblCellMar>
      </w:tblPr>
      <w:tblGrid>
        <w:gridCol w:w="6987"/>
        <w:gridCol w:w="1301"/>
      </w:tblGrid>
      <w:tr>
        <w:tblPrEx>
          <w:tblCellMar>
            <w:top w:w="0" w:type="dxa"/>
            <w:left w:w="108" w:type="dxa"/>
            <w:bottom w:w="0" w:type="dxa"/>
            <w:right w:w="108" w:type="dxa"/>
          </w:tblCellMar>
        </w:tblPrEx>
        <w:trPr>
          <w:trHeight w:val="284" w:hRule="atLeast"/>
          <w:jc w:val="center"/>
        </w:trPr>
        <w:tc>
          <w:tcPr>
            <w:tcW w:w="6987" w:type="dxa"/>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皮肤损伤导致瘢痕形成，且瘢痕面积大于等于全身体表面积的90%</w:t>
            </w:r>
          </w:p>
        </w:tc>
        <w:tc>
          <w:tcPr>
            <w:tcW w:w="130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躯干及四肢III度烧伤，面积大于等于全身皮肤面积的60%</w:t>
            </w:r>
          </w:p>
        </w:tc>
        <w:tc>
          <w:tcPr>
            <w:tcW w:w="1301" w:type="dxa"/>
            <w:tcBorders>
              <w:top w:val="single" w:color="auto" w:sz="4" w:space="0"/>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1级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皮肤损伤导致瘢痕形成，且瘢痕面积大于等于全身体表面积的80%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2级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皮肤损伤导致瘢痕形成，且瘢痕面积大于等于全身体表面积的70%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躯干及四肢III度烧伤，面积大于等于全身皮肤面积的40%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3级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皮肤损伤导致瘢痕形成，且瘢痕面积大于等于全身体表面积的60%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4级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皮肤损伤导致瘢痕形成，且瘢痕面积大于等于全身体表面积的50%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躯干及四肢III度烧伤，面积大于等于全身皮肤面积的20%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5级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皮肤损伤导致瘢痕形成，且瘢痕面积大于等于全身体表面积的40%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腹部损伤导致腹壁缺损面积大于等于腹壁面积的25%</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6级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皮肤损伤导致瘢痕形成，且瘢痕面积大于等于全身体表面积的30%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躯干及四肢III度烧伤，面积大于等于全身皮肤面积的10%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7级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皮肤损伤导致瘢痕形成，且瘢痕面积大于等于全身体表面积的20%</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8级</w:t>
            </w:r>
          </w:p>
        </w:tc>
      </w:tr>
      <w:tr>
        <w:tblPrEx>
          <w:tblCellMar>
            <w:top w:w="0" w:type="dxa"/>
            <w:left w:w="108" w:type="dxa"/>
            <w:bottom w:w="0" w:type="dxa"/>
            <w:right w:w="108" w:type="dxa"/>
          </w:tblCellMar>
        </w:tblPrEx>
        <w:trPr>
          <w:trHeight w:val="284" w:hRule="atLeast"/>
          <w:jc w:val="center"/>
        </w:trPr>
        <w:tc>
          <w:tcPr>
            <w:tcW w:w="6987" w:type="dxa"/>
            <w:tcBorders>
              <w:top w:val="nil"/>
              <w:left w:val="single" w:color="auto" w:sz="4" w:space="0"/>
              <w:bottom w:val="single" w:color="auto" w:sz="4" w:space="0"/>
              <w:right w:val="single" w:color="auto" w:sz="4" w:space="0"/>
            </w:tcBorders>
            <w:vAlign w:val="center"/>
          </w:tcPr>
          <w:p>
            <w:pPr>
              <w:pStyle w:val="10"/>
              <w:spacing w:line="240" w:lineRule="exact"/>
              <w:rPr>
                <w:rFonts w:ascii="Times New Roman" w:hAnsi="Times New Roman"/>
                <w:sz w:val="21"/>
                <w:szCs w:val="21"/>
              </w:rPr>
            </w:pPr>
            <w:r>
              <w:rPr>
                <w:rFonts w:ascii="Times New Roman" w:hAnsi="Times New Roman"/>
                <w:sz w:val="21"/>
                <w:szCs w:val="21"/>
              </w:rPr>
              <w:t>皮肤损伤导致瘢痕形成，且瘢痕面积大于等于全身体表面积的5%</w:t>
            </w:r>
          </w:p>
        </w:tc>
        <w:tc>
          <w:tcPr>
            <w:tcW w:w="1301" w:type="dxa"/>
            <w:tcBorders>
              <w:top w:val="nil"/>
              <w:left w:val="nil"/>
              <w:bottom w:val="single" w:color="auto" w:sz="4" w:space="0"/>
              <w:right w:val="single" w:color="auto" w:sz="4" w:space="0"/>
            </w:tcBorders>
            <w:vAlign w:val="center"/>
          </w:tcPr>
          <w:p>
            <w:pPr>
              <w:pStyle w:val="10"/>
              <w:spacing w:line="240" w:lineRule="exact"/>
              <w:jc w:val="center"/>
              <w:rPr>
                <w:rFonts w:ascii="Times New Roman" w:hAnsi="Times New Roman"/>
                <w:sz w:val="21"/>
                <w:szCs w:val="21"/>
              </w:rPr>
            </w:pPr>
            <w:r>
              <w:rPr>
                <w:rFonts w:ascii="Times New Roman" w:hAnsi="Times New Roman"/>
                <w:sz w:val="21"/>
                <w:szCs w:val="21"/>
              </w:rPr>
              <w:t>9级</w:t>
            </w:r>
          </w:p>
        </w:tc>
      </w:tr>
    </w:tbl>
    <w:p>
      <w:pPr>
        <w:pStyle w:val="9"/>
        <w:spacing w:beforeLines="30" w:line="280" w:lineRule="exact"/>
        <w:rPr>
          <w:rFonts w:ascii="Times New Roman" w:hAnsi="Times New Roman"/>
          <w:sz w:val="21"/>
          <w:szCs w:val="21"/>
        </w:rPr>
      </w:pPr>
      <w:r>
        <w:rPr>
          <w:rFonts w:ascii="Times New Roman" w:hAnsi="Times New Roman"/>
          <w:sz w:val="21"/>
          <w:szCs w:val="21"/>
        </w:rPr>
        <w:t>注：</w:t>
      </w:r>
      <w:r>
        <w:rPr>
          <w:rFonts w:ascii="Times New Roman" w:hAnsi="Times New Roman"/>
          <w:sz w:val="21"/>
          <w:szCs w:val="21"/>
        </w:rPr>
        <w:fldChar w:fldCharType="begin"/>
      </w:r>
      <w:r>
        <w:rPr>
          <w:rFonts w:ascii="Times New Roman" w:hAnsi="Times New Roman"/>
          <w:sz w:val="21"/>
          <w:szCs w:val="21"/>
        </w:rPr>
        <w:instrText xml:space="preserve"> = 1 \* GB3 </w:instrText>
      </w:r>
      <w:r>
        <w:rPr>
          <w:rFonts w:ascii="Times New Roman" w:hAnsi="Times New Roman"/>
          <w:sz w:val="21"/>
          <w:szCs w:val="21"/>
        </w:rPr>
        <w:fldChar w:fldCharType="separate"/>
      </w:r>
      <w:r>
        <w:rPr>
          <w:rFonts w:ascii="Times New Roman" w:hAnsi="Times New Roman"/>
          <w:sz w:val="21"/>
          <w:szCs w:val="21"/>
        </w:rPr>
        <w:t>①</w:t>
      </w:r>
      <w:r>
        <w:rPr>
          <w:rFonts w:ascii="Times New Roman" w:hAnsi="Times New Roman"/>
          <w:sz w:val="21"/>
          <w:szCs w:val="21"/>
        </w:rPr>
        <w:fldChar w:fldCharType="end"/>
      </w:r>
      <w:r>
        <w:rPr>
          <w:rFonts w:ascii="Times New Roman" w:hAnsi="Times New Roman"/>
          <w:sz w:val="21"/>
          <w:szCs w:val="21"/>
        </w:rPr>
        <w:t xml:space="preserve"> 全身皮肤瘢痕面积的计算：按皮肤瘢痕面积占全身体表面积的百分数来计算，即中国新九分法：在100%的体表总面积中：头颈部占9%（9×1）（头部、面部、颈部各占3%）；双上肢占18%（9×2）（双上臂7%，双前臂6%，双手5%）；躯干前后包括会阴占27%（9×3）（前躯13%，后躯13%，会阴1%）；双下肢（含臀部）占46%（双臀5%，双大腿21%，双小腿13%，双足7%）（9×5+1）（女性双足和臀各占6%）。</w:t>
      </w:r>
    </w:p>
    <w:p>
      <w:pPr>
        <w:pStyle w:val="9"/>
        <w:spacing w:beforeLines="50" w:line="280" w:lineRule="exact"/>
        <w:ind w:firstLine="417" w:firstLineChars="199"/>
        <w:rPr>
          <w:rFonts w:ascii="Times New Roman" w:hAnsi="Times New Roman"/>
          <w:sz w:val="28"/>
          <w:szCs w:val="28"/>
        </w:rPr>
      </w:pPr>
      <w:r>
        <w:rPr>
          <w:rFonts w:ascii="Times New Roman" w:hAnsi="Times New Roman"/>
          <w:sz w:val="21"/>
          <w:szCs w:val="21"/>
        </w:rPr>
        <w:fldChar w:fldCharType="begin"/>
      </w:r>
      <w:r>
        <w:rPr>
          <w:rFonts w:ascii="Times New Roman" w:hAnsi="Times New Roman"/>
          <w:sz w:val="21"/>
          <w:szCs w:val="21"/>
        </w:rPr>
        <w:instrText xml:space="preserve"> = 2 \* GB3 </w:instrText>
      </w:r>
      <w:r>
        <w:rPr>
          <w:rFonts w:ascii="Times New Roman" w:hAnsi="Times New Roman"/>
          <w:sz w:val="21"/>
          <w:szCs w:val="21"/>
        </w:rPr>
        <w:fldChar w:fldCharType="separate"/>
      </w:r>
      <w:r>
        <w:rPr>
          <w:rFonts w:ascii="Times New Roman" w:hAnsi="Times New Roman"/>
          <w:sz w:val="21"/>
          <w:szCs w:val="21"/>
        </w:rPr>
        <w:t>②</w:t>
      </w:r>
      <w:r>
        <w:rPr>
          <w:rFonts w:ascii="Times New Roman" w:hAnsi="Times New Roman"/>
          <w:sz w:val="21"/>
          <w:szCs w:val="21"/>
        </w:rPr>
        <w:fldChar w:fldCharType="end"/>
      </w:r>
      <w:r>
        <w:rPr>
          <w:rFonts w:ascii="Times New Roman" w:hAnsi="Times New Roman"/>
          <w:sz w:val="21"/>
          <w:szCs w:val="21"/>
        </w:rPr>
        <w:t xml:space="preserve"> 烧伤面积和烧伤深度：烧伤面积的计算按中国新九分法，烧伤深度按三度四分法。III度烧伤指烧伤深达皮肤全层甚至达到皮下、肌肉和骨骼。烧伤事故不包括冻伤、吸入性损伤（又称呼吸道烧伤）和电击伤。烧伤后按烧伤面积、深度评定伤残等级，待医疗终结后，可以依据造成的功能障碍程度、皮肤瘢痕面积大小评定伤残等级，最终的伤残等级以严重者为准。</w:t>
      </w:r>
    </w:p>
    <w:p>
      <w:pPr>
        <w:spacing w:line="400" w:lineRule="exact"/>
        <w:ind w:firstLine="0"/>
        <w:rPr>
          <w:rFonts w:ascii="Times New Roman" w:eastAsia="黑体"/>
          <w:szCs w:val="32"/>
        </w:rPr>
      </w:pPr>
    </w:p>
    <w:p>
      <w:pPr>
        <w:spacing w:line="400" w:lineRule="exact"/>
        <w:ind w:firstLine="0"/>
        <w:rPr>
          <w:rFonts w:ascii="Times New Roman" w:eastAsia="黑体"/>
          <w:szCs w:val="32"/>
        </w:rPr>
      </w:pPr>
      <w:r>
        <w:rPr>
          <w:rFonts w:ascii="Times New Roman" w:eastAsia="黑体"/>
          <w:szCs w:val="32"/>
        </w:rPr>
        <w:br w:type="page"/>
      </w:r>
      <w:r>
        <w:rPr>
          <w:rFonts w:ascii="Times New Roman" w:eastAsia="黑体"/>
          <w:szCs w:val="32"/>
        </w:rPr>
        <w:t>附件2</w:t>
      </w:r>
    </w:p>
    <w:p>
      <w:pPr>
        <w:spacing w:line="480" w:lineRule="exact"/>
        <w:ind w:firstLine="0"/>
        <w:jc w:val="center"/>
        <w:rPr>
          <w:rFonts w:ascii="Times New Roman" w:eastAsia="方正大标宋简体"/>
          <w:bCs/>
          <w:sz w:val="40"/>
          <w:szCs w:val="40"/>
        </w:rPr>
      </w:pPr>
      <w:r>
        <w:rPr>
          <w:rFonts w:ascii="Times New Roman" w:eastAsia="方正大标宋简体"/>
          <w:bCs/>
          <w:sz w:val="40"/>
          <w:szCs w:val="40"/>
        </w:rPr>
        <w:t>房屋损失核损标准</w:t>
      </w:r>
    </w:p>
    <w:p>
      <w:pPr>
        <w:spacing w:line="480" w:lineRule="exact"/>
        <w:ind w:firstLine="560" w:firstLineChars="200"/>
        <w:rPr>
          <w:rFonts w:ascii="Times New Roman" w:eastAsia="黑体"/>
          <w:bCs/>
          <w:sz w:val="28"/>
          <w:szCs w:val="28"/>
        </w:rPr>
      </w:pPr>
      <w:r>
        <w:rPr>
          <w:rFonts w:ascii="Times New Roman" w:eastAsia="黑体"/>
          <w:bCs/>
          <w:sz w:val="28"/>
          <w:szCs w:val="28"/>
        </w:rPr>
        <w:t>1.屋面损失</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89"/>
        <w:gridCol w:w="159"/>
        <w:gridCol w:w="1092"/>
        <w:gridCol w:w="1608"/>
        <w:gridCol w:w="51"/>
        <w:gridCol w:w="1182"/>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0" w:type="dxa"/>
            <w:gridSpan w:val="8"/>
            <w:tcBorders>
              <w:bottom w:val="single" w:color="auto" w:sz="4" w:space="0"/>
            </w:tcBorders>
            <w:vAlign w:val="center"/>
          </w:tcPr>
          <w:p>
            <w:pPr>
              <w:spacing w:line="240" w:lineRule="exact"/>
              <w:ind w:firstLine="0"/>
              <w:rPr>
                <w:rFonts w:ascii="Times New Roman" w:eastAsia="仿宋_GB2312"/>
                <w:bCs/>
                <w:sz w:val="21"/>
                <w:szCs w:val="21"/>
              </w:rPr>
            </w:pPr>
            <w:r>
              <w:rPr>
                <w:rFonts w:ascii="Times New Roman" w:eastAsia="仿宋_GB2312"/>
                <w:bCs/>
                <w:sz w:val="21"/>
                <w:szCs w:val="21"/>
              </w:rPr>
              <w:t>屋顶（每平米，含人工，已按档次、损失程度分类）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9" w:type="dxa"/>
            <w:gridSpan w:val="2"/>
            <w:shd w:val="clear" w:color="auto" w:fill="99CCFF"/>
            <w:vAlign w:val="center"/>
          </w:tcPr>
          <w:p>
            <w:pPr>
              <w:spacing w:line="240" w:lineRule="exact"/>
              <w:ind w:firstLine="0"/>
              <w:rPr>
                <w:rFonts w:ascii="Times New Roman" w:eastAsia="仿宋_GB2312"/>
                <w:bCs/>
                <w:sz w:val="21"/>
                <w:szCs w:val="21"/>
              </w:rPr>
            </w:pPr>
            <w:r>
              <w:rPr>
                <w:rFonts w:ascii="Times New Roman" w:eastAsia="仿宋_GB2312"/>
                <w:bCs/>
                <w:sz w:val="21"/>
                <w:szCs w:val="21"/>
              </w:rPr>
              <w:t>小瓦、平瓦（低档）</w:t>
            </w:r>
          </w:p>
        </w:tc>
        <w:tc>
          <w:tcPr>
            <w:tcW w:w="2910" w:type="dxa"/>
            <w:gridSpan w:val="4"/>
            <w:shd w:val="clear" w:color="auto" w:fill="99CCFF"/>
            <w:vAlign w:val="center"/>
          </w:tcPr>
          <w:p>
            <w:pPr>
              <w:spacing w:line="240" w:lineRule="exact"/>
              <w:ind w:firstLine="0"/>
              <w:rPr>
                <w:rFonts w:ascii="Times New Roman" w:eastAsia="仿宋_GB2312"/>
                <w:bCs/>
                <w:sz w:val="21"/>
                <w:szCs w:val="21"/>
              </w:rPr>
            </w:pPr>
            <w:r>
              <w:rPr>
                <w:rFonts w:ascii="Times New Roman" w:eastAsia="仿宋_GB2312"/>
                <w:bCs/>
                <w:sz w:val="21"/>
                <w:szCs w:val="21"/>
              </w:rPr>
              <w:t>小瓦、平瓦（中档）</w:t>
            </w:r>
          </w:p>
        </w:tc>
        <w:tc>
          <w:tcPr>
            <w:tcW w:w="2921" w:type="dxa"/>
            <w:gridSpan w:val="2"/>
            <w:shd w:val="clear" w:color="auto" w:fill="99CCFF"/>
            <w:vAlign w:val="center"/>
          </w:tcPr>
          <w:p>
            <w:pPr>
              <w:spacing w:line="240" w:lineRule="exact"/>
              <w:ind w:firstLine="0"/>
              <w:rPr>
                <w:rFonts w:ascii="Times New Roman" w:eastAsia="仿宋_GB2312"/>
                <w:bCs/>
                <w:sz w:val="21"/>
                <w:szCs w:val="21"/>
              </w:rPr>
            </w:pPr>
            <w:r>
              <w:rPr>
                <w:rFonts w:ascii="Times New Roman" w:eastAsia="仿宋_GB2312"/>
                <w:bCs/>
                <w:sz w:val="21"/>
                <w:szCs w:val="21"/>
              </w:rPr>
              <w:t>小瓦、平瓦（高档）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名称</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单价（元/平米）</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名称</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单价（元/平米）</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名称</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单价（元/平米）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小瓦平瓦（粘土）</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20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小瓦平瓦（粘土）</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25</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小瓦平瓦（粘土）</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望板（粘土）</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20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望板（粘土）</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20</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木板</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木椽子</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40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木椽子</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30</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木椽子</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水泥桁条</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20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木桁条</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25</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木桁条</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人工</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50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人工</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50</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人工</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bCs/>
                <w:sz w:val="21"/>
                <w:szCs w:val="21"/>
              </w:rPr>
            </w:pPr>
            <w:r>
              <w:rPr>
                <w:rFonts w:ascii="Times New Roman" w:eastAsia="仿宋_GB2312"/>
                <w:bCs/>
                <w:sz w:val="21"/>
                <w:szCs w:val="21"/>
              </w:rPr>
              <w:t>合计</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150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合计</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170</w:t>
            </w:r>
          </w:p>
        </w:tc>
        <w:tc>
          <w:tcPr>
            <w:tcW w:w="1182" w:type="dxa"/>
            <w:vAlign w:val="center"/>
          </w:tcPr>
          <w:p>
            <w:pPr>
              <w:spacing w:line="240" w:lineRule="exact"/>
              <w:ind w:firstLine="0"/>
              <w:rPr>
                <w:rFonts w:ascii="Times New Roman" w:eastAsia="仿宋_GB2312"/>
                <w:bCs/>
                <w:sz w:val="21"/>
                <w:szCs w:val="21"/>
              </w:rPr>
            </w:pPr>
            <w:r>
              <w:rPr>
                <w:rFonts w:ascii="Times New Roman" w:eastAsia="仿宋_GB2312"/>
                <w:bCs/>
                <w:sz w:val="21"/>
                <w:szCs w:val="21"/>
              </w:rPr>
              <w:t>合计</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9" w:type="dxa"/>
            <w:gridSpan w:val="2"/>
            <w:shd w:val="clear" w:color="auto" w:fill="99CCFF"/>
            <w:vAlign w:val="center"/>
          </w:tcPr>
          <w:p>
            <w:pPr>
              <w:spacing w:line="240" w:lineRule="exact"/>
              <w:ind w:firstLine="0"/>
              <w:rPr>
                <w:rFonts w:ascii="Times New Roman" w:eastAsia="仿宋_GB2312"/>
                <w:sz w:val="21"/>
                <w:szCs w:val="21"/>
              </w:rPr>
            </w:pPr>
            <w:r>
              <w:rPr>
                <w:rFonts w:ascii="Times New Roman" w:eastAsia="仿宋_GB2312"/>
                <w:sz w:val="21"/>
                <w:szCs w:val="21"/>
              </w:rPr>
              <w:t>琉璃瓦（低档）</w:t>
            </w:r>
          </w:p>
        </w:tc>
        <w:tc>
          <w:tcPr>
            <w:tcW w:w="2910" w:type="dxa"/>
            <w:gridSpan w:val="4"/>
            <w:shd w:val="clear" w:color="auto" w:fill="99CCFF"/>
            <w:vAlign w:val="center"/>
          </w:tcPr>
          <w:p>
            <w:pPr>
              <w:spacing w:line="240" w:lineRule="exact"/>
              <w:ind w:firstLine="0"/>
              <w:rPr>
                <w:rFonts w:ascii="Times New Roman" w:eastAsia="仿宋_GB2312"/>
                <w:sz w:val="21"/>
                <w:szCs w:val="21"/>
              </w:rPr>
            </w:pPr>
            <w:r>
              <w:rPr>
                <w:rFonts w:ascii="Times New Roman" w:eastAsia="仿宋_GB2312"/>
                <w:sz w:val="21"/>
                <w:szCs w:val="21"/>
              </w:rPr>
              <w:t>琉璃瓦（中档）</w:t>
            </w:r>
          </w:p>
        </w:tc>
        <w:tc>
          <w:tcPr>
            <w:tcW w:w="2921" w:type="dxa"/>
            <w:gridSpan w:val="2"/>
            <w:shd w:val="clear" w:color="auto" w:fill="99CCFF"/>
            <w:vAlign w:val="center"/>
          </w:tcPr>
          <w:p>
            <w:pPr>
              <w:spacing w:line="240" w:lineRule="exact"/>
              <w:ind w:firstLine="0"/>
              <w:rPr>
                <w:rFonts w:ascii="Times New Roman" w:eastAsia="仿宋_GB2312"/>
                <w:sz w:val="21"/>
                <w:szCs w:val="21"/>
              </w:rPr>
            </w:pPr>
            <w:r>
              <w:rPr>
                <w:rFonts w:ascii="Times New Roman" w:eastAsia="仿宋_GB2312"/>
                <w:sz w:val="21"/>
                <w:szCs w:val="21"/>
              </w:rPr>
              <w:t>琉璃瓦（高档）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名称</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单价（元/平米）</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名称</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单价（元/平米）</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名称</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单价（元/平米）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琉璃瓦</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80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琉璃瓦</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90</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琉璃瓦</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望板（粘土）</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20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望板（粘土）</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20</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木板</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木椽子</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40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木椽子</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40</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木椽子</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水泥桁条</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20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木桁条</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30</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木桁条</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人工</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50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人工</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50</w:t>
            </w:r>
          </w:p>
        </w:tc>
        <w:tc>
          <w:tcPr>
            <w:tcW w:w="1182" w:type="dxa"/>
            <w:vAlign w:val="center"/>
          </w:tcPr>
          <w:p>
            <w:pPr>
              <w:spacing w:line="240" w:lineRule="exact"/>
              <w:ind w:firstLine="0"/>
              <w:rPr>
                <w:rFonts w:ascii="Times New Roman" w:eastAsia="仿宋_GB2312"/>
                <w:sz w:val="21"/>
                <w:szCs w:val="21"/>
              </w:rPr>
            </w:pPr>
            <w:r>
              <w:rPr>
                <w:rFonts w:ascii="Times New Roman" w:eastAsia="仿宋_GB2312"/>
                <w:sz w:val="21"/>
                <w:szCs w:val="21"/>
              </w:rPr>
              <w:t>人工</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bCs/>
                <w:sz w:val="21"/>
                <w:szCs w:val="21"/>
              </w:rPr>
            </w:pPr>
            <w:r>
              <w:rPr>
                <w:rFonts w:ascii="Times New Roman" w:eastAsia="仿宋_GB2312"/>
                <w:bCs/>
                <w:sz w:val="21"/>
                <w:szCs w:val="21"/>
              </w:rPr>
              <w:t>合计</w:t>
            </w:r>
          </w:p>
        </w:tc>
        <w:tc>
          <w:tcPr>
            <w:tcW w:w="1589" w:type="dxa"/>
            <w:vAlign w:val="center"/>
          </w:tcPr>
          <w:p>
            <w:pPr>
              <w:spacing w:line="240" w:lineRule="exact"/>
              <w:ind w:firstLine="0"/>
              <w:rPr>
                <w:rFonts w:ascii="Times New Roman" w:eastAsia="仿宋_GB2312"/>
                <w:sz w:val="21"/>
                <w:szCs w:val="21"/>
              </w:rPr>
            </w:pPr>
            <w:r>
              <w:rPr>
                <w:rFonts w:ascii="Times New Roman" w:eastAsia="仿宋_GB2312"/>
                <w:sz w:val="21"/>
                <w:szCs w:val="21"/>
              </w:rPr>
              <w:t>210</w:t>
            </w:r>
          </w:p>
        </w:tc>
        <w:tc>
          <w:tcPr>
            <w:tcW w:w="1251"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合计</w:t>
            </w:r>
          </w:p>
        </w:tc>
        <w:tc>
          <w:tcPr>
            <w:tcW w:w="1659"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230</w:t>
            </w:r>
          </w:p>
        </w:tc>
        <w:tc>
          <w:tcPr>
            <w:tcW w:w="1182" w:type="dxa"/>
            <w:vAlign w:val="center"/>
          </w:tcPr>
          <w:p>
            <w:pPr>
              <w:spacing w:line="240" w:lineRule="exact"/>
              <w:ind w:firstLine="0"/>
              <w:rPr>
                <w:rFonts w:ascii="Times New Roman" w:eastAsia="仿宋_GB2312"/>
                <w:bCs/>
                <w:sz w:val="21"/>
                <w:szCs w:val="21"/>
              </w:rPr>
            </w:pPr>
            <w:r>
              <w:rPr>
                <w:rFonts w:ascii="Times New Roman" w:eastAsia="仿宋_GB2312"/>
                <w:bCs/>
                <w:sz w:val="21"/>
                <w:szCs w:val="21"/>
              </w:rPr>
              <w:t>合计</w:t>
            </w:r>
          </w:p>
        </w:tc>
        <w:tc>
          <w:tcPr>
            <w:tcW w:w="1739" w:type="dxa"/>
            <w:vAlign w:val="center"/>
          </w:tcPr>
          <w:p>
            <w:pPr>
              <w:spacing w:line="240" w:lineRule="exact"/>
              <w:ind w:firstLine="0"/>
              <w:rPr>
                <w:rFonts w:ascii="Times New Roman" w:eastAsia="仿宋_GB2312"/>
                <w:sz w:val="21"/>
                <w:szCs w:val="21"/>
              </w:rPr>
            </w:pPr>
            <w:r>
              <w:rPr>
                <w:rFonts w:ascii="Times New Roman" w:eastAsia="仿宋_GB2312"/>
                <w:sz w:val="21"/>
                <w:szCs w:val="21"/>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840" w:type="dxa"/>
            <w:gridSpan w:val="8"/>
            <w:vAlign w:val="center"/>
          </w:tcPr>
          <w:p>
            <w:pPr>
              <w:spacing w:line="240" w:lineRule="exact"/>
              <w:ind w:firstLine="0"/>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gridSpan w:val="3"/>
            <w:vAlign w:val="center"/>
          </w:tcPr>
          <w:p>
            <w:pPr>
              <w:spacing w:line="240" w:lineRule="exact"/>
              <w:ind w:firstLine="0"/>
              <w:rPr>
                <w:rFonts w:ascii="Times New Roman" w:eastAsia="仿宋_GB2312"/>
                <w:sz w:val="21"/>
                <w:szCs w:val="21"/>
              </w:rPr>
            </w:pPr>
            <w:r>
              <w:rPr>
                <w:rFonts w:ascii="Times New Roman" w:eastAsia="仿宋_GB2312"/>
                <w:sz w:val="21"/>
                <w:szCs w:val="21"/>
              </w:rPr>
              <w:t>屋脊（每米，含人工）</w:t>
            </w:r>
          </w:p>
        </w:tc>
        <w:tc>
          <w:tcPr>
            <w:tcW w:w="2700"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屋檐（每米，含人工）</w:t>
            </w:r>
          </w:p>
        </w:tc>
        <w:tc>
          <w:tcPr>
            <w:tcW w:w="1233" w:type="dxa"/>
            <w:gridSpan w:val="2"/>
            <w:vAlign w:val="center"/>
          </w:tcPr>
          <w:p>
            <w:pPr>
              <w:spacing w:line="240" w:lineRule="exact"/>
              <w:ind w:firstLine="0"/>
              <w:rPr>
                <w:rFonts w:ascii="Times New Roman" w:eastAsia="仿宋_GB2312"/>
                <w:sz w:val="21"/>
                <w:szCs w:val="21"/>
              </w:rPr>
            </w:pPr>
          </w:p>
        </w:tc>
        <w:tc>
          <w:tcPr>
            <w:tcW w:w="1739" w:type="dxa"/>
            <w:vAlign w:val="center"/>
          </w:tcPr>
          <w:p>
            <w:pPr>
              <w:spacing w:line="240" w:lineRule="exact"/>
              <w:ind w:firstLine="0"/>
              <w:rPr>
                <w:rFonts w:ascii="Times New Roman" w:eastAsia="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形式</w:t>
            </w:r>
          </w:p>
        </w:tc>
        <w:tc>
          <w:tcPr>
            <w:tcW w:w="1748"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单价（元/米）</w:t>
            </w:r>
          </w:p>
        </w:tc>
        <w:tc>
          <w:tcPr>
            <w:tcW w:w="1092" w:type="dxa"/>
            <w:vAlign w:val="center"/>
          </w:tcPr>
          <w:p>
            <w:pPr>
              <w:spacing w:line="240" w:lineRule="exact"/>
              <w:ind w:firstLine="0"/>
              <w:rPr>
                <w:rFonts w:ascii="Times New Roman" w:eastAsia="仿宋_GB2312"/>
                <w:sz w:val="21"/>
                <w:szCs w:val="21"/>
              </w:rPr>
            </w:pPr>
            <w:r>
              <w:rPr>
                <w:rFonts w:ascii="Times New Roman" w:eastAsia="仿宋_GB2312"/>
                <w:sz w:val="21"/>
                <w:szCs w:val="21"/>
              </w:rPr>
              <w:t>形式</w:t>
            </w:r>
          </w:p>
        </w:tc>
        <w:tc>
          <w:tcPr>
            <w:tcW w:w="1608" w:type="dxa"/>
            <w:vAlign w:val="center"/>
          </w:tcPr>
          <w:p>
            <w:pPr>
              <w:spacing w:line="240" w:lineRule="exact"/>
              <w:ind w:firstLine="0"/>
              <w:rPr>
                <w:rFonts w:ascii="Times New Roman" w:eastAsia="仿宋_GB2312"/>
                <w:sz w:val="21"/>
                <w:szCs w:val="21"/>
              </w:rPr>
            </w:pPr>
            <w:r>
              <w:rPr>
                <w:rFonts w:ascii="Times New Roman" w:eastAsia="仿宋_GB2312"/>
                <w:sz w:val="21"/>
                <w:szCs w:val="21"/>
              </w:rPr>
              <w:t>单价（元/米）</w:t>
            </w:r>
          </w:p>
        </w:tc>
        <w:tc>
          <w:tcPr>
            <w:tcW w:w="1233" w:type="dxa"/>
            <w:gridSpan w:val="2"/>
            <w:vAlign w:val="center"/>
          </w:tcPr>
          <w:p>
            <w:pPr>
              <w:spacing w:line="240" w:lineRule="exact"/>
              <w:ind w:firstLine="0"/>
              <w:rPr>
                <w:rFonts w:ascii="Times New Roman" w:eastAsia="仿宋_GB2312"/>
                <w:sz w:val="21"/>
                <w:szCs w:val="21"/>
              </w:rPr>
            </w:pPr>
          </w:p>
        </w:tc>
        <w:tc>
          <w:tcPr>
            <w:tcW w:w="1739" w:type="dxa"/>
            <w:vAlign w:val="center"/>
          </w:tcPr>
          <w:p>
            <w:pPr>
              <w:spacing w:line="240" w:lineRule="exact"/>
              <w:ind w:firstLine="0"/>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小瓦竖制</w:t>
            </w:r>
          </w:p>
        </w:tc>
        <w:tc>
          <w:tcPr>
            <w:tcW w:w="1748"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150</w:t>
            </w:r>
          </w:p>
        </w:tc>
        <w:tc>
          <w:tcPr>
            <w:tcW w:w="1092" w:type="dxa"/>
            <w:vAlign w:val="center"/>
          </w:tcPr>
          <w:p>
            <w:pPr>
              <w:spacing w:line="240" w:lineRule="exact"/>
              <w:ind w:firstLine="0"/>
              <w:rPr>
                <w:rFonts w:ascii="Times New Roman" w:eastAsia="仿宋_GB2312"/>
                <w:sz w:val="21"/>
                <w:szCs w:val="21"/>
              </w:rPr>
            </w:pPr>
            <w:r>
              <w:rPr>
                <w:rFonts w:ascii="Times New Roman" w:eastAsia="仿宋_GB2312"/>
                <w:sz w:val="21"/>
                <w:szCs w:val="21"/>
              </w:rPr>
              <w:t>小瓦</w:t>
            </w:r>
          </w:p>
        </w:tc>
        <w:tc>
          <w:tcPr>
            <w:tcW w:w="1608" w:type="dxa"/>
            <w:vAlign w:val="center"/>
          </w:tcPr>
          <w:p>
            <w:pPr>
              <w:spacing w:line="240" w:lineRule="exact"/>
              <w:ind w:firstLine="0"/>
              <w:rPr>
                <w:rFonts w:ascii="Times New Roman" w:eastAsia="仿宋_GB2312"/>
                <w:sz w:val="21"/>
                <w:szCs w:val="21"/>
              </w:rPr>
            </w:pPr>
            <w:r>
              <w:rPr>
                <w:rFonts w:ascii="Times New Roman" w:eastAsia="仿宋_GB2312"/>
                <w:sz w:val="21"/>
                <w:szCs w:val="21"/>
              </w:rPr>
              <w:t>80</w:t>
            </w:r>
          </w:p>
        </w:tc>
        <w:tc>
          <w:tcPr>
            <w:tcW w:w="1233" w:type="dxa"/>
            <w:gridSpan w:val="2"/>
            <w:vAlign w:val="center"/>
          </w:tcPr>
          <w:p>
            <w:pPr>
              <w:spacing w:line="240" w:lineRule="exact"/>
              <w:ind w:firstLine="0"/>
              <w:rPr>
                <w:rFonts w:ascii="Times New Roman" w:eastAsia="仿宋_GB2312"/>
                <w:sz w:val="21"/>
                <w:szCs w:val="21"/>
              </w:rPr>
            </w:pPr>
          </w:p>
        </w:tc>
        <w:tc>
          <w:tcPr>
            <w:tcW w:w="1739" w:type="dxa"/>
            <w:vAlign w:val="center"/>
          </w:tcPr>
          <w:p>
            <w:pPr>
              <w:spacing w:line="240" w:lineRule="exact"/>
              <w:ind w:firstLine="0"/>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小瓦平制</w:t>
            </w:r>
          </w:p>
        </w:tc>
        <w:tc>
          <w:tcPr>
            <w:tcW w:w="1748"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100</w:t>
            </w:r>
          </w:p>
        </w:tc>
        <w:tc>
          <w:tcPr>
            <w:tcW w:w="1092" w:type="dxa"/>
            <w:vAlign w:val="center"/>
          </w:tcPr>
          <w:p>
            <w:pPr>
              <w:spacing w:line="240" w:lineRule="exact"/>
              <w:ind w:firstLine="0"/>
              <w:rPr>
                <w:rFonts w:ascii="Times New Roman" w:eastAsia="仿宋_GB2312"/>
                <w:sz w:val="21"/>
                <w:szCs w:val="21"/>
              </w:rPr>
            </w:pPr>
            <w:r>
              <w:rPr>
                <w:rFonts w:ascii="Times New Roman" w:eastAsia="仿宋_GB2312"/>
                <w:sz w:val="21"/>
                <w:szCs w:val="21"/>
              </w:rPr>
              <w:t>平瓦</w:t>
            </w:r>
          </w:p>
        </w:tc>
        <w:tc>
          <w:tcPr>
            <w:tcW w:w="1608" w:type="dxa"/>
            <w:vAlign w:val="center"/>
          </w:tcPr>
          <w:p>
            <w:pPr>
              <w:spacing w:line="240" w:lineRule="exact"/>
              <w:ind w:firstLine="0"/>
              <w:rPr>
                <w:rFonts w:ascii="Times New Roman" w:eastAsia="仿宋_GB2312"/>
                <w:sz w:val="21"/>
                <w:szCs w:val="21"/>
              </w:rPr>
            </w:pPr>
            <w:r>
              <w:rPr>
                <w:rFonts w:ascii="Times New Roman" w:eastAsia="仿宋_GB2312"/>
                <w:sz w:val="21"/>
                <w:szCs w:val="21"/>
              </w:rPr>
              <w:t>40</w:t>
            </w:r>
          </w:p>
        </w:tc>
        <w:tc>
          <w:tcPr>
            <w:tcW w:w="1233" w:type="dxa"/>
            <w:gridSpan w:val="2"/>
            <w:vAlign w:val="center"/>
          </w:tcPr>
          <w:p>
            <w:pPr>
              <w:spacing w:line="240" w:lineRule="exact"/>
              <w:ind w:firstLine="0"/>
              <w:rPr>
                <w:rFonts w:ascii="Times New Roman" w:eastAsia="仿宋_GB2312"/>
                <w:sz w:val="21"/>
                <w:szCs w:val="21"/>
              </w:rPr>
            </w:pPr>
          </w:p>
        </w:tc>
        <w:tc>
          <w:tcPr>
            <w:tcW w:w="1739" w:type="dxa"/>
            <w:vAlign w:val="center"/>
          </w:tcPr>
          <w:p>
            <w:pPr>
              <w:spacing w:line="240" w:lineRule="exact"/>
              <w:ind w:firstLine="0"/>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pacing w:line="240" w:lineRule="exact"/>
              <w:ind w:firstLine="0"/>
              <w:rPr>
                <w:rFonts w:ascii="Times New Roman" w:eastAsia="仿宋_GB2312"/>
                <w:sz w:val="21"/>
                <w:szCs w:val="21"/>
              </w:rPr>
            </w:pPr>
            <w:r>
              <w:rPr>
                <w:rFonts w:ascii="Times New Roman" w:eastAsia="仿宋_GB2312"/>
                <w:sz w:val="21"/>
                <w:szCs w:val="21"/>
              </w:rPr>
              <w:t>平瓦脊瓦</w:t>
            </w:r>
          </w:p>
        </w:tc>
        <w:tc>
          <w:tcPr>
            <w:tcW w:w="1748" w:type="dxa"/>
            <w:gridSpan w:val="2"/>
            <w:vAlign w:val="center"/>
          </w:tcPr>
          <w:p>
            <w:pPr>
              <w:spacing w:line="240" w:lineRule="exact"/>
              <w:ind w:firstLine="0"/>
              <w:rPr>
                <w:rFonts w:ascii="Times New Roman" w:eastAsia="仿宋_GB2312"/>
                <w:sz w:val="21"/>
                <w:szCs w:val="21"/>
              </w:rPr>
            </w:pPr>
            <w:r>
              <w:rPr>
                <w:rFonts w:ascii="Times New Roman" w:eastAsia="仿宋_GB2312"/>
                <w:sz w:val="21"/>
                <w:szCs w:val="21"/>
              </w:rPr>
              <w:t>60</w:t>
            </w:r>
          </w:p>
        </w:tc>
        <w:tc>
          <w:tcPr>
            <w:tcW w:w="1092" w:type="dxa"/>
            <w:vAlign w:val="center"/>
          </w:tcPr>
          <w:p>
            <w:pPr>
              <w:spacing w:line="240" w:lineRule="exact"/>
              <w:ind w:firstLine="0"/>
              <w:rPr>
                <w:rFonts w:ascii="Times New Roman" w:eastAsia="仿宋_GB2312"/>
                <w:sz w:val="21"/>
                <w:szCs w:val="21"/>
              </w:rPr>
            </w:pPr>
          </w:p>
        </w:tc>
        <w:tc>
          <w:tcPr>
            <w:tcW w:w="1608" w:type="dxa"/>
            <w:vAlign w:val="center"/>
          </w:tcPr>
          <w:p>
            <w:pPr>
              <w:spacing w:line="240" w:lineRule="exact"/>
              <w:ind w:firstLine="0"/>
              <w:rPr>
                <w:rFonts w:ascii="Times New Roman" w:eastAsia="仿宋_GB2312"/>
                <w:sz w:val="21"/>
                <w:szCs w:val="21"/>
              </w:rPr>
            </w:pPr>
          </w:p>
        </w:tc>
        <w:tc>
          <w:tcPr>
            <w:tcW w:w="1233" w:type="dxa"/>
            <w:gridSpan w:val="2"/>
            <w:vAlign w:val="center"/>
          </w:tcPr>
          <w:p>
            <w:pPr>
              <w:spacing w:line="240" w:lineRule="exact"/>
              <w:ind w:firstLine="0"/>
              <w:rPr>
                <w:rFonts w:ascii="Times New Roman" w:eastAsia="仿宋_GB2312"/>
                <w:sz w:val="21"/>
                <w:szCs w:val="21"/>
              </w:rPr>
            </w:pPr>
          </w:p>
        </w:tc>
        <w:tc>
          <w:tcPr>
            <w:tcW w:w="1739" w:type="dxa"/>
            <w:vAlign w:val="center"/>
          </w:tcPr>
          <w:p>
            <w:pPr>
              <w:spacing w:line="240" w:lineRule="exact"/>
              <w:ind w:firstLine="0"/>
              <w:rPr>
                <w:rFonts w:ascii="Times New Roman" w:eastAsia="仿宋_GB2312"/>
                <w:sz w:val="21"/>
                <w:szCs w:val="21"/>
              </w:rPr>
            </w:pPr>
          </w:p>
        </w:tc>
      </w:tr>
    </w:tbl>
    <w:p>
      <w:pPr>
        <w:spacing w:line="440" w:lineRule="exact"/>
        <w:ind w:firstLine="560" w:firstLineChars="200"/>
        <w:rPr>
          <w:rFonts w:ascii="Times New Roman" w:eastAsia="仿宋_GB2312"/>
          <w:bCs/>
          <w:sz w:val="28"/>
          <w:szCs w:val="28"/>
        </w:rPr>
      </w:pPr>
      <w:r>
        <w:rPr>
          <w:rFonts w:ascii="Times New Roman" w:eastAsia="仿宋_GB2312"/>
          <w:bCs/>
          <w:sz w:val="28"/>
          <w:szCs w:val="28"/>
        </w:rPr>
        <w:t>档次：低、中、高三档按房屋的实际情况确定，一般遵循平房按低档、楼房按中档、洋房按高档的原则。</w:t>
      </w:r>
    </w:p>
    <w:p>
      <w:pPr>
        <w:spacing w:line="440" w:lineRule="exact"/>
        <w:ind w:firstLine="560" w:firstLineChars="200"/>
        <w:rPr>
          <w:rFonts w:ascii="Times New Roman" w:eastAsia="仿宋_GB2312"/>
          <w:bCs/>
          <w:sz w:val="28"/>
          <w:szCs w:val="28"/>
        </w:rPr>
      </w:pPr>
      <w:r>
        <w:rPr>
          <w:rFonts w:ascii="Times New Roman" w:eastAsia="仿宋_GB2312"/>
          <w:bCs/>
          <w:sz w:val="28"/>
          <w:szCs w:val="28"/>
        </w:rPr>
        <w:t>损失程度：按仅防水盖料（瓦）损坏和穿孔两种损坏形式，分别以分项单价和合计单价计入。</w:t>
      </w:r>
    </w:p>
    <w:p>
      <w:pPr>
        <w:spacing w:line="440" w:lineRule="exact"/>
        <w:ind w:firstLine="560" w:firstLineChars="200"/>
        <w:rPr>
          <w:rFonts w:ascii="Times New Roman" w:eastAsia="仿宋_GB2312"/>
          <w:bCs/>
          <w:sz w:val="28"/>
          <w:szCs w:val="28"/>
        </w:rPr>
      </w:pPr>
      <w:r>
        <w:rPr>
          <w:rFonts w:ascii="Times New Roman" w:eastAsia="仿宋_GB2312"/>
          <w:bCs/>
          <w:sz w:val="28"/>
          <w:szCs w:val="28"/>
        </w:rPr>
        <w:t>核损公式：损失金额=损坏面积（长度）×单价（分项/合计）。</w:t>
      </w:r>
    </w:p>
    <w:p>
      <w:pPr>
        <w:spacing w:line="460" w:lineRule="exact"/>
        <w:ind w:firstLine="560" w:firstLineChars="200"/>
        <w:rPr>
          <w:rFonts w:ascii="Times New Roman" w:eastAsia="黑体"/>
          <w:bCs/>
          <w:sz w:val="28"/>
          <w:szCs w:val="28"/>
        </w:rPr>
      </w:pPr>
      <w:r>
        <w:rPr>
          <w:rFonts w:ascii="Times New Roman" w:eastAsia="黑体"/>
          <w:bCs/>
          <w:sz w:val="28"/>
          <w:szCs w:val="28"/>
        </w:rPr>
        <w:t>2.门窗损失</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Borders>
              <w:bottom w:val="single" w:color="auto" w:sz="4" w:space="0"/>
            </w:tcBorders>
            <w:vAlign w:val="center"/>
          </w:tcPr>
          <w:p>
            <w:pPr>
              <w:spacing w:line="240" w:lineRule="exact"/>
              <w:ind w:firstLine="0"/>
              <w:rPr>
                <w:rFonts w:ascii="Times New Roman" w:eastAsia="仿宋_GB2312"/>
                <w:sz w:val="21"/>
                <w:szCs w:val="21"/>
              </w:rPr>
            </w:pPr>
            <w:r>
              <w:rPr>
                <w:rFonts w:ascii="Times New Roman" w:eastAsia="仿宋_GB2312"/>
                <w:sz w:val="21"/>
                <w:szCs w:val="21"/>
              </w:rPr>
              <w:t>门、窗（每平米，含玻璃、人工辅料）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shd w:val="clear" w:color="auto" w:fill="99CCFF"/>
            <w:vAlign w:val="center"/>
          </w:tcPr>
          <w:p>
            <w:pPr>
              <w:spacing w:line="240" w:lineRule="exact"/>
              <w:ind w:firstLine="0"/>
              <w:rPr>
                <w:rFonts w:ascii="Times New Roman" w:eastAsia="仿宋_GB2312"/>
                <w:sz w:val="21"/>
                <w:szCs w:val="21"/>
              </w:rPr>
            </w:pPr>
            <w:r>
              <w:rPr>
                <w:rFonts w:ascii="Times New Roman" w:eastAsia="仿宋_GB2312"/>
                <w:sz w:val="21"/>
                <w:szCs w:val="21"/>
              </w:rPr>
              <w:t>材质</w:t>
            </w:r>
          </w:p>
        </w:tc>
        <w:tc>
          <w:tcPr>
            <w:tcW w:w="4261" w:type="dxa"/>
            <w:shd w:val="clear" w:color="auto" w:fill="99CCFF"/>
            <w:vAlign w:val="center"/>
          </w:tcPr>
          <w:p>
            <w:pPr>
              <w:spacing w:line="240" w:lineRule="exact"/>
              <w:ind w:firstLine="0"/>
              <w:rPr>
                <w:rFonts w:ascii="Times New Roman" w:eastAsia="仿宋_GB2312"/>
                <w:sz w:val="21"/>
                <w:szCs w:val="21"/>
              </w:rPr>
            </w:pPr>
            <w:r>
              <w:rPr>
                <w:rFonts w:ascii="Times New Roman" w:eastAsia="仿宋_GB2312"/>
                <w:sz w:val="21"/>
                <w:szCs w:val="21"/>
              </w:rPr>
              <w:t>单价（元/平米）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木质</w:t>
            </w:r>
          </w:p>
        </w:tc>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钢质（含卷帘）</w:t>
            </w:r>
          </w:p>
        </w:tc>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钢质（单玻璃3毫米）</w:t>
            </w:r>
          </w:p>
        </w:tc>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铝合金（单玻璃3毫米）</w:t>
            </w:r>
          </w:p>
        </w:tc>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塑钢（单玻璃3毫米）</w:t>
            </w:r>
          </w:p>
        </w:tc>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Borders>
              <w:bottom w:val="single" w:color="auto" w:sz="4" w:space="0"/>
            </w:tcBorders>
            <w:vAlign w:val="center"/>
          </w:tcPr>
          <w:p>
            <w:pPr>
              <w:spacing w:line="240" w:lineRule="exact"/>
              <w:ind w:firstLine="0"/>
              <w:rPr>
                <w:rFonts w:ascii="Times New Roman" w:eastAsia="仿宋_GB2312"/>
                <w:sz w:val="21"/>
                <w:szCs w:val="21"/>
              </w:rPr>
            </w:pPr>
            <w:r>
              <w:rPr>
                <w:rFonts w:ascii="Times New Roman" w:eastAsia="仿宋_GB2312"/>
                <w:sz w:val="21"/>
                <w:szCs w:val="21"/>
              </w:rPr>
              <w:t>玻璃（单独损坏、每平米，含人工辅料）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shd w:val="clear" w:color="auto" w:fill="99CCFF"/>
            <w:vAlign w:val="center"/>
          </w:tcPr>
          <w:p>
            <w:pPr>
              <w:spacing w:line="240" w:lineRule="exact"/>
              <w:ind w:firstLine="0"/>
              <w:rPr>
                <w:rFonts w:ascii="Times New Roman" w:eastAsia="仿宋_GB2312"/>
                <w:sz w:val="21"/>
                <w:szCs w:val="21"/>
              </w:rPr>
            </w:pPr>
            <w:r>
              <w:rPr>
                <w:rFonts w:ascii="Times New Roman" w:eastAsia="仿宋_GB2312"/>
                <w:sz w:val="21"/>
                <w:szCs w:val="21"/>
              </w:rPr>
              <w:t>规格</w:t>
            </w:r>
          </w:p>
        </w:tc>
        <w:tc>
          <w:tcPr>
            <w:tcW w:w="4261" w:type="dxa"/>
            <w:shd w:val="clear" w:color="auto" w:fill="99CCFF"/>
            <w:vAlign w:val="center"/>
          </w:tcPr>
          <w:p>
            <w:pPr>
              <w:spacing w:line="240" w:lineRule="exact"/>
              <w:ind w:firstLine="0"/>
              <w:rPr>
                <w:rFonts w:ascii="Times New Roman" w:eastAsia="仿宋_GB2312"/>
                <w:sz w:val="21"/>
                <w:szCs w:val="21"/>
              </w:rPr>
            </w:pPr>
            <w:r>
              <w:rPr>
                <w:rFonts w:ascii="Times New Roman" w:eastAsia="仿宋_GB2312"/>
                <w:sz w:val="21"/>
                <w:szCs w:val="21"/>
              </w:rPr>
              <w:t>单价（元/平米）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中空</w:t>
            </w:r>
          </w:p>
        </w:tc>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3毫米</w:t>
            </w:r>
          </w:p>
        </w:tc>
        <w:tc>
          <w:tcPr>
            <w:tcW w:w="4261" w:type="dxa"/>
            <w:vAlign w:val="center"/>
          </w:tcPr>
          <w:p>
            <w:pPr>
              <w:spacing w:line="240" w:lineRule="exact"/>
              <w:ind w:firstLine="0"/>
              <w:rPr>
                <w:rFonts w:ascii="Times New Roman" w:eastAsia="仿宋_GB2312"/>
                <w:sz w:val="21"/>
                <w:szCs w:val="21"/>
              </w:rPr>
            </w:pPr>
            <w:r>
              <w:rPr>
                <w:rFonts w:ascii="Times New Roman" w:eastAsia="仿宋_GB2312"/>
                <w:sz w:val="21"/>
                <w:szCs w:val="21"/>
              </w:rPr>
              <w:t>40</w:t>
            </w:r>
          </w:p>
        </w:tc>
      </w:tr>
    </w:tbl>
    <w:p>
      <w:pPr>
        <w:spacing w:line="440" w:lineRule="exact"/>
        <w:ind w:firstLine="560" w:firstLineChars="200"/>
        <w:rPr>
          <w:rFonts w:ascii="Times New Roman" w:eastAsia="仿宋_GB2312"/>
          <w:bCs/>
          <w:sz w:val="28"/>
          <w:szCs w:val="28"/>
        </w:rPr>
      </w:pPr>
      <w:r>
        <w:rPr>
          <w:rFonts w:ascii="Times New Roman" w:eastAsia="仿宋_GB2312"/>
          <w:bCs/>
          <w:sz w:val="28"/>
          <w:szCs w:val="28"/>
        </w:rPr>
        <w:t>档次：低、中、高三档分别按实际情况确定，分别按80%、100%和120%确定。</w:t>
      </w:r>
    </w:p>
    <w:p>
      <w:pPr>
        <w:spacing w:line="440" w:lineRule="exact"/>
        <w:ind w:firstLine="560" w:firstLineChars="200"/>
        <w:rPr>
          <w:rFonts w:ascii="Times New Roman" w:eastAsia="仿宋_GB2312"/>
          <w:bCs/>
          <w:sz w:val="28"/>
          <w:szCs w:val="28"/>
        </w:rPr>
      </w:pPr>
      <w:r>
        <w:rPr>
          <w:rFonts w:ascii="Times New Roman" w:eastAsia="仿宋_GB2312"/>
          <w:bCs/>
          <w:sz w:val="28"/>
          <w:szCs w:val="28"/>
        </w:rPr>
        <w:t>损失程度：轻微损失按30%、部分损失按50%、全部损失按90%确定。</w:t>
      </w:r>
    </w:p>
    <w:p>
      <w:pPr>
        <w:spacing w:line="440" w:lineRule="exact"/>
        <w:ind w:firstLine="560" w:firstLineChars="200"/>
        <w:rPr>
          <w:rFonts w:ascii="Times New Roman" w:eastAsia="仿宋_GB2312"/>
          <w:bCs/>
          <w:sz w:val="28"/>
          <w:szCs w:val="28"/>
        </w:rPr>
      </w:pPr>
      <w:r>
        <w:rPr>
          <w:rFonts w:ascii="Times New Roman" w:eastAsia="仿宋_GB2312"/>
          <w:bCs/>
          <w:sz w:val="28"/>
          <w:szCs w:val="28"/>
        </w:rPr>
        <w:t>核损公式：损失金额=损坏面积×单价×档次×损失程度。</w:t>
      </w:r>
    </w:p>
    <w:p>
      <w:pPr>
        <w:spacing w:line="480" w:lineRule="exact"/>
        <w:ind w:firstLine="560" w:firstLineChars="200"/>
        <w:rPr>
          <w:rFonts w:ascii="Times New Roman" w:eastAsia="黑体"/>
          <w:bCs/>
          <w:sz w:val="28"/>
          <w:szCs w:val="28"/>
        </w:rPr>
      </w:pPr>
      <w:r>
        <w:rPr>
          <w:rFonts w:ascii="Times New Roman" w:eastAsia="黑体"/>
          <w:bCs/>
          <w:sz w:val="28"/>
          <w:szCs w:val="28"/>
        </w:rPr>
        <w:t>3.墙体（砖墙）损失</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Borders>
              <w:bottom w:val="single" w:color="auto" w:sz="4" w:space="0"/>
            </w:tcBorders>
            <w:vAlign w:val="center"/>
          </w:tcPr>
          <w:p>
            <w:pPr>
              <w:spacing w:line="320" w:lineRule="exact"/>
              <w:ind w:firstLine="0"/>
              <w:rPr>
                <w:rFonts w:ascii="Times New Roman" w:eastAsia="仿宋_GB2312"/>
                <w:sz w:val="21"/>
                <w:szCs w:val="21"/>
              </w:rPr>
            </w:pPr>
            <w:r>
              <w:rPr>
                <w:rFonts w:ascii="Times New Roman" w:eastAsia="仿宋_GB2312"/>
                <w:sz w:val="21"/>
                <w:szCs w:val="21"/>
              </w:rPr>
              <w:t>墙体（每平米，含人工）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99CCFF"/>
            <w:vAlign w:val="center"/>
          </w:tcPr>
          <w:p>
            <w:pPr>
              <w:spacing w:line="320" w:lineRule="exact"/>
              <w:ind w:firstLine="0"/>
              <w:rPr>
                <w:rFonts w:ascii="Times New Roman" w:eastAsia="仿宋_GB2312"/>
                <w:sz w:val="21"/>
                <w:szCs w:val="21"/>
              </w:rPr>
            </w:pPr>
            <w:r>
              <w:rPr>
                <w:rFonts w:ascii="Times New Roman" w:eastAsia="仿宋_GB2312"/>
                <w:sz w:val="21"/>
                <w:szCs w:val="21"/>
              </w:rPr>
              <w:t>名称</w:t>
            </w:r>
          </w:p>
        </w:tc>
        <w:tc>
          <w:tcPr>
            <w:tcW w:w="2130" w:type="dxa"/>
            <w:shd w:val="clear" w:color="auto" w:fill="99CCFF"/>
            <w:vAlign w:val="center"/>
          </w:tcPr>
          <w:p>
            <w:pPr>
              <w:spacing w:line="320" w:lineRule="exact"/>
              <w:ind w:firstLine="0"/>
              <w:rPr>
                <w:rFonts w:ascii="Times New Roman" w:eastAsia="仿宋_GB2312"/>
                <w:sz w:val="21"/>
                <w:szCs w:val="21"/>
              </w:rPr>
            </w:pPr>
            <w:r>
              <w:rPr>
                <w:rFonts w:ascii="Times New Roman" w:eastAsia="仿宋_GB2312"/>
                <w:sz w:val="21"/>
                <w:szCs w:val="21"/>
              </w:rPr>
              <w:t>单价（元/平米）</w:t>
            </w:r>
          </w:p>
        </w:tc>
        <w:tc>
          <w:tcPr>
            <w:tcW w:w="2131" w:type="dxa"/>
            <w:shd w:val="clear" w:color="auto" w:fill="99CCFF"/>
            <w:vAlign w:val="center"/>
          </w:tcPr>
          <w:p>
            <w:pPr>
              <w:spacing w:line="320" w:lineRule="exact"/>
              <w:ind w:firstLine="0"/>
              <w:rPr>
                <w:rFonts w:ascii="Times New Roman" w:eastAsia="仿宋_GB2312"/>
                <w:sz w:val="21"/>
                <w:szCs w:val="21"/>
              </w:rPr>
            </w:pPr>
            <w:r>
              <w:rPr>
                <w:rFonts w:ascii="Times New Roman" w:eastAsia="仿宋_GB2312"/>
                <w:sz w:val="21"/>
                <w:szCs w:val="21"/>
              </w:rPr>
              <w:t>名称</w:t>
            </w:r>
          </w:p>
        </w:tc>
        <w:tc>
          <w:tcPr>
            <w:tcW w:w="2131" w:type="dxa"/>
            <w:shd w:val="clear" w:color="auto" w:fill="99CCFF"/>
            <w:vAlign w:val="center"/>
          </w:tcPr>
          <w:p>
            <w:pPr>
              <w:spacing w:line="320" w:lineRule="exact"/>
              <w:ind w:firstLine="0"/>
              <w:rPr>
                <w:rFonts w:ascii="Times New Roman" w:eastAsia="仿宋_GB2312"/>
                <w:sz w:val="21"/>
                <w:szCs w:val="21"/>
              </w:rPr>
            </w:pPr>
            <w:r>
              <w:rPr>
                <w:rFonts w:ascii="Times New Roman" w:eastAsia="仿宋_GB2312"/>
                <w:sz w:val="21"/>
                <w:szCs w:val="21"/>
              </w:rPr>
              <w:t>单价（元/平米）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粘土砖（空砌）</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36</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粘土砖（实砌）</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砂浆（砌）</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8</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砂浆（砌）</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砂浆（粉）</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8</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砂浆（粉）</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人工</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30</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人工</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合计</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80</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合计</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522" w:type="dxa"/>
            <w:gridSpan w:val="4"/>
            <w:tcBorders>
              <w:bottom w:val="single" w:color="auto" w:sz="4" w:space="0"/>
            </w:tcBorders>
            <w:vAlign w:val="center"/>
          </w:tcPr>
          <w:p>
            <w:pPr>
              <w:spacing w:line="320" w:lineRule="exact"/>
              <w:ind w:firstLine="0"/>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99CCFF"/>
            <w:vAlign w:val="center"/>
          </w:tcPr>
          <w:p>
            <w:pPr>
              <w:spacing w:line="320" w:lineRule="exact"/>
              <w:ind w:firstLine="0"/>
              <w:rPr>
                <w:rFonts w:ascii="Times New Roman" w:eastAsia="仿宋_GB2312"/>
                <w:sz w:val="21"/>
                <w:szCs w:val="21"/>
              </w:rPr>
            </w:pPr>
            <w:r>
              <w:rPr>
                <w:rFonts w:ascii="Times New Roman" w:eastAsia="仿宋_GB2312"/>
                <w:sz w:val="21"/>
                <w:szCs w:val="21"/>
              </w:rPr>
              <w:t>名称</w:t>
            </w:r>
          </w:p>
        </w:tc>
        <w:tc>
          <w:tcPr>
            <w:tcW w:w="2130" w:type="dxa"/>
            <w:shd w:val="clear" w:color="auto" w:fill="99CCFF"/>
            <w:vAlign w:val="center"/>
          </w:tcPr>
          <w:p>
            <w:pPr>
              <w:spacing w:line="320" w:lineRule="exact"/>
              <w:ind w:firstLine="0"/>
              <w:rPr>
                <w:rFonts w:ascii="Times New Roman" w:eastAsia="仿宋_GB2312"/>
                <w:sz w:val="21"/>
                <w:szCs w:val="21"/>
              </w:rPr>
            </w:pPr>
            <w:r>
              <w:rPr>
                <w:rFonts w:ascii="Times New Roman" w:eastAsia="仿宋_GB2312"/>
                <w:sz w:val="21"/>
                <w:szCs w:val="21"/>
              </w:rPr>
              <w:t>单价（元/平米）</w:t>
            </w:r>
          </w:p>
        </w:tc>
        <w:tc>
          <w:tcPr>
            <w:tcW w:w="2131" w:type="dxa"/>
            <w:shd w:val="clear" w:color="auto" w:fill="99CCFF"/>
            <w:vAlign w:val="center"/>
          </w:tcPr>
          <w:p>
            <w:pPr>
              <w:spacing w:line="320" w:lineRule="exact"/>
              <w:ind w:firstLine="0"/>
              <w:rPr>
                <w:rFonts w:ascii="Times New Roman" w:eastAsia="仿宋_GB2312"/>
                <w:sz w:val="21"/>
                <w:szCs w:val="21"/>
              </w:rPr>
            </w:pPr>
            <w:r>
              <w:rPr>
                <w:rFonts w:ascii="Times New Roman" w:eastAsia="仿宋_GB2312"/>
                <w:sz w:val="21"/>
                <w:szCs w:val="21"/>
              </w:rPr>
              <w:t>名称</w:t>
            </w:r>
          </w:p>
        </w:tc>
        <w:tc>
          <w:tcPr>
            <w:tcW w:w="2131" w:type="dxa"/>
            <w:shd w:val="clear" w:color="auto" w:fill="99CCFF"/>
            <w:vAlign w:val="center"/>
          </w:tcPr>
          <w:p>
            <w:pPr>
              <w:spacing w:line="320" w:lineRule="exact"/>
              <w:ind w:firstLine="0"/>
              <w:rPr>
                <w:rFonts w:ascii="Times New Roman" w:eastAsia="仿宋_GB2312"/>
                <w:sz w:val="21"/>
                <w:szCs w:val="21"/>
              </w:rPr>
            </w:pPr>
            <w:r>
              <w:rPr>
                <w:rFonts w:ascii="Times New Roman" w:eastAsia="仿宋_GB2312"/>
                <w:sz w:val="21"/>
                <w:szCs w:val="21"/>
              </w:rPr>
              <w:t>单价（元/平米）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粘土砖（空砌）</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36</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粘土砖（实砌）</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砂浆（砌）</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8</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砂浆（砌）</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砂浆（粉）</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8</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砂浆（粉）</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人工</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30</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人工</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外墙面砖贴面</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50</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外墙面砖贴面</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合计</w:t>
            </w:r>
          </w:p>
        </w:tc>
        <w:tc>
          <w:tcPr>
            <w:tcW w:w="2130" w:type="dxa"/>
            <w:vAlign w:val="center"/>
          </w:tcPr>
          <w:p>
            <w:pPr>
              <w:spacing w:line="320" w:lineRule="exact"/>
              <w:ind w:firstLine="0"/>
              <w:rPr>
                <w:rFonts w:ascii="Times New Roman" w:eastAsia="仿宋_GB2312"/>
                <w:sz w:val="21"/>
                <w:szCs w:val="21"/>
              </w:rPr>
            </w:pPr>
            <w:r>
              <w:rPr>
                <w:rFonts w:ascii="Times New Roman" w:eastAsia="仿宋_GB2312"/>
                <w:sz w:val="21"/>
                <w:szCs w:val="21"/>
              </w:rPr>
              <w:t>130</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合计</w:t>
            </w:r>
          </w:p>
        </w:tc>
        <w:tc>
          <w:tcPr>
            <w:tcW w:w="2131" w:type="dxa"/>
            <w:vAlign w:val="center"/>
          </w:tcPr>
          <w:p>
            <w:pPr>
              <w:spacing w:line="320" w:lineRule="exact"/>
              <w:ind w:firstLine="0"/>
              <w:rPr>
                <w:rFonts w:ascii="Times New Roman" w:eastAsia="仿宋_GB2312"/>
                <w:sz w:val="21"/>
                <w:szCs w:val="21"/>
              </w:rPr>
            </w:pPr>
            <w:r>
              <w:rPr>
                <w:rFonts w:ascii="Times New Roman" w:eastAsia="仿宋_GB2312"/>
                <w:sz w:val="21"/>
                <w:szCs w:val="21"/>
              </w:rPr>
              <w:t>140</w:t>
            </w:r>
          </w:p>
        </w:tc>
      </w:tr>
    </w:tbl>
    <w:p>
      <w:pPr>
        <w:spacing w:line="440" w:lineRule="exact"/>
        <w:ind w:firstLine="560" w:firstLineChars="200"/>
        <w:rPr>
          <w:rFonts w:ascii="Times New Roman" w:eastAsia="仿宋_GB2312"/>
          <w:bCs/>
          <w:sz w:val="28"/>
          <w:szCs w:val="28"/>
        </w:rPr>
      </w:pPr>
      <w:r>
        <w:rPr>
          <w:rFonts w:ascii="Times New Roman" w:eastAsia="仿宋_GB2312"/>
          <w:bCs/>
          <w:sz w:val="28"/>
          <w:szCs w:val="28"/>
        </w:rPr>
        <w:t>档次：低、中、高三档按房屋的实际情况确定，一般遵循平房按低档（80%）、楼房按中档（100%）、洋房按高档的原则（120%，若外墙为石料类，石料单价另行协商处理，最高不超过130%）。</w:t>
      </w:r>
    </w:p>
    <w:p>
      <w:pPr>
        <w:spacing w:line="440" w:lineRule="exact"/>
        <w:ind w:firstLine="560" w:firstLineChars="200"/>
        <w:rPr>
          <w:rFonts w:ascii="Times New Roman" w:eastAsia="仿宋_GB2312"/>
          <w:bCs/>
          <w:sz w:val="28"/>
          <w:szCs w:val="28"/>
        </w:rPr>
      </w:pPr>
      <w:r>
        <w:rPr>
          <w:rFonts w:ascii="Times New Roman" w:eastAsia="仿宋_GB2312"/>
          <w:bCs/>
          <w:sz w:val="28"/>
          <w:szCs w:val="28"/>
        </w:rPr>
        <w:t>损失程度：按砖块的可利用价值和墙体的受损程度确定，轻微损失按30%，部分损失按50%，全损按100%。</w:t>
      </w:r>
    </w:p>
    <w:p>
      <w:pPr>
        <w:spacing w:line="440" w:lineRule="exact"/>
        <w:ind w:firstLine="560" w:firstLineChars="200"/>
        <w:rPr>
          <w:rFonts w:ascii="Times New Roman" w:eastAsia="仿宋_GB2312"/>
          <w:bCs/>
          <w:sz w:val="28"/>
          <w:szCs w:val="28"/>
        </w:rPr>
      </w:pPr>
      <w:r>
        <w:rPr>
          <w:rFonts w:ascii="Times New Roman" w:eastAsia="仿宋_GB2312"/>
          <w:bCs/>
          <w:sz w:val="28"/>
          <w:szCs w:val="28"/>
        </w:rPr>
        <w:t>核损公式：损失金额=损坏面积×单价×档次×损失程度。</w:t>
      </w:r>
    </w:p>
    <w:p>
      <w:pPr>
        <w:spacing w:line="540" w:lineRule="exact"/>
        <w:ind w:firstLine="560" w:firstLineChars="200"/>
        <w:rPr>
          <w:rFonts w:ascii="Times New Roman" w:eastAsia="黑体"/>
          <w:bCs/>
          <w:sz w:val="28"/>
          <w:szCs w:val="28"/>
        </w:rPr>
      </w:pPr>
      <w:r>
        <w:rPr>
          <w:rFonts w:ascii="Times New Roman" w:eastAsia="黑体"/>
          <w:bCs/>
          <w:sz w:val="28"/>
          <w:szCs w:val="28"/>
        </w:rPr>
        <w:t>4.家庭基本生活设施一次性定额补贴</w:t>
      </w:r>
    </w:p>
    <w:tbl>
      <w:tblPr>
        <w:tblStyle w:val="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447"/>
        <w:gridCol w:w="1809"/>
        <w:gridCol w:w="2037"/>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shd w:val="clear" w:color="auto" w:fill="99CCFF"/>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物品名称</w:t>
            </w:r>
          </w:p>
        </w:tc>
        <w:tc>
          <w:tcPr>
            <w:tcW w:w="1447" w:type="dxa"/>
            <w:shd w:val="clear" w:color="auto" w:fill="99CCFF"/>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种类</w:t>
            </w:r>
          </w:p>
        </w:tc>
        <w:tc>
          <w:tcPr>
            <w:tcW w:w="1809" w:type="dxa"/>
            <w:shd w:val="clear" w:color="auto" w:fill="99CCFF"/>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规格</w:t>
            </w:r>
          </w:p>
        </w:tc>
        <w:tc>
          <w:tcPr>
            <w:tcW w:w="2037" w:type="dxa"/>
            <w:shd w:val="clear" w:color="auto" w:fill="99CCFF"/>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一次性定额补贴金额（元/单位）</w:t>
            </w:r>
          </w:p>
        </w:tc>
        <w:tc>
          <w:tcPr>
            <w:tcW w:w="2765" w:type="dxa"/>
            <w:shd w:val="clear" w:color="auto" w:fill="99CCFF"/>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床</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小床</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1.2米以下</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500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大床</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1.2米以上</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1000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棉被/衣服</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随床</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一套</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300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其他衣被</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按所住房间人口</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300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以衣柜烧损为补贴前提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固定电话</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50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灯具</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吊灯</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200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日光灯</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30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筒灯、壁灯等</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5</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普通灯泡、节能灯不作补贴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冰箱</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单门/小冰柜</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200</w:t>
            </w:r>
          </w:p>
        </w:tc>
        <w:tc>
          <w:tcPr>
            <w:tcW w:w="2765" w:type="dxa"/>
            <w:vAlign w:val="center"/>
          </w:tcPr>
          <w:p>
            <w:pPr>
              <w:spacing w:line="240" w:lineRule="exact"/>
              <w:ind w:firstLine="0"/>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双门</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800</w:t>
            </w:r>
          </w:p>
        </w:tc>
        <w:tc>
          <w:tcPr>
            <w:tcW w:w="2765" w:type="dxa"/>
            <w:vAlign w:val="center"/>
          </w:tcPr>
          <w:p>
            <w:pPr>
              <w:spacing w:line="240" w:lineRule="exact"/>
              <w:ind w:firstLine="0"/>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对开门</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1000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高档生活用品，非基本生活设施，按双门冰箱标准补贴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电视机</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黑白</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200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Merge w:val="restart"/>
            <w:vAlign w:val="center"/>
          </w:tcPr>
          <w:p>
            <w:pPr>
              <w:spacing w:line="240" w:lineRule="exact"/>
              <w:ind w:firstLine="0"/>
              <w:rPr>
                <w:rFonts w:ascii="Times New Roman" w:eastAsia="仿宋_GB2312"/>
                <w:sz w:val="21"/>
                <w:szCs w:val="21"/>
              </w:rPr>
            </w:pPr>
            <w:r>
              <w:rPr>
                <w:rFonts w:ascii="Times New Roman" w:eastAsia="仿宋_GB2312"/>
                <w:sz w:val="21"/>
                <w:szCs w:val="21"/>
              </w:rPr>
              <w:t>彩色</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29寸以下</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800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Merge w:val="continue"/>
            <w:vAlign w:val="center"/>
          </w:tcPr>
          <w:p>
            <w:pPr>
              <w:spacing w:line="240" w:lineRule="exact"/>
              <w:ind w:firstLine="0"/>
              <w:rPr>
                <w:rFonts w:ascii="Times New Roman" w:eastAsia="仿宋_GB2312"/>
                <w:sz w:val="21"/>
                <w:szCs w:val="21"/>
              </w:rPr>
            </w:pP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29寸以上</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1000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Merge w:val="restart"/>
            <w:vAlign w:val="center"/>
          </w:tcPr>
          <w:p>
            <w:pPr>
              <w:spacing w:line="240" w:lineRule="exact"/>
              <w:ind w:firstLine="0"/>
              <w:rPr>
                <w:rFonts w:ascii="Times New Roman" w:eastAsia="仿宋_GB2312"/>
                <w:sz w:val="21"/>
                <w:szCs w:val="21"/>
              </w:rPr>
            </w:pPr>
            <w:r>
              <w:rPr>
                <w:rFonts w:ascii="Times New Roman" w:eastAsia="仿宋_GB2312"/>
                <w:sz w:val="21"/>
                <w:szCs w:val="21"/>
              </w:rPr>
              <w:t>液晶</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32寸以下</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800</w:t>
            </w:r>
          </w:p>
        </w:tc>
        <w:tc>
          <w:tcPr>
            <w:tcW w:w="2765" w:type="dxa"/>
            <w:vMerge w:val="restart"/>
            <w:vAlign w:val="center"/>
          </w:tcPr>
          <w:p>
            <w:pPr>
              <w:spacing w:line="240" w:lineRule="exact"/>
              <w:ind w:firstLine="0"/>
              <w:rPr>
                <w:rFonts w:ascii="Times New Roman" w:eastAsia="仿宋_GB2312"/>
                <w:sz w:val="21"/>
                <w:szCs w:val="21"/>
              </w:rPr>
            </w:pPr>
            <w:r>
              <w:rPr>
                <w:rFonts w:ascii="Times New Roman" w:eastAsia="仿宋_GB2312"/>
                <w:sz w:val="21"/>
                <w:szCs w:val="21"/>
              </w:rPr>
              <w:t>高档生活用品，非基本生活设施，按彩色电视标准补贴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Merge w:val="continue"/>
            <w:vAlign w:val="center"/>
          </w:tcPr>
          <w:p>
            <w:pPr>
              <w:spacing w:line="240" w:lineRule="exact"/>
              <w:ind w:firstLine="0"/>
              <w:rPr>
                <w:rFonts w:ascii="Times New Roman" w:eastAsia="仿宋_GB2312"/>
                <w:sz w:val="21"/>
                <w:szCs w:val="21"/>
              </w:rPr>
            </w:pP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32寸以上</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1000</w:t>
            </w:r>
          </w:p>
        </w:tc>
        <w:tc>
          <w:tcPr>
            <w:tcW w:w="2765" w:type="dxa"/>
            <w:vMerge w:val="continue"/>
            <w:vAlign w:val="center"/>
          </w:tcPr>
          <w:p>
            <w:pPr>
              <w:spacing w:line="240" w:lineRule="exact"/>
              <w:ind w:firstLine="0"/>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洗衣机</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半自动</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单/双缸</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200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全自动</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1000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全自动滚筒</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1000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高档生活用品，非基本生活设施，按全自动洗衣机标准补贴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热水器</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电/煤气</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500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太阳能</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1000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仅指屋顶外机烧损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液化气灶</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200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油烟机</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500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微波炉</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300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电饭煲</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200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空调</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挂壁式</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1~2匹</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1000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立式</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2~3匹</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1800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沙发</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组合一套</w:t>
            </w:r>
          </w:p>
        </w:tc>
        <w:tc>
          <w:tcPr>
            <w:tcW w:w="2037" w:type="dxa"/>
            <w:vAlign w:val="center"/>
          </w:tcPr>
          <w:p>
            <w:pPr>
              <w:spacing w:line="320" w:lineRule="exact"/>
              <w:ind w:firstLine="0"/>
              <w:rPr>
                <w:rFonts w:ascii="Times New Roman" w:eastAsia="仿宋_GB2312"/>
                <w:sz w:val="21"/>
                <w:szCs w:val="21"/>
              </w:rPr>
            </w:pPr>
            <w:r>
              <w:rPr>
                <w:rFonts w:ascii="Times New Roman" w:eastAsia="仿宋_GB2312"/>
                <w:sz w:val="21"/>
                <w:szCs w:val="21"/>
              </w:rPr>
              <w:t>800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主附沙发按6比4补贴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Merge w:val="restart"/>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桌子</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大桌</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240" w:lineRule="exact"/>
              <w:ind w:firstLine="0"/>
              <w:rPr>
                <w:rFonts w:ascii="Times New Roman" w:eastAsia="仿宋_GB2312"/>
                <w:sz w:val="21"/>
                <w:szCs w:val="21"/>
              </w:rPr>
            </w:pPr>
            <w:r>
              <w:rPr>
                <w:rFonts w:ascii="Times New Roman" w:eastAsia="仿宋_GB2312"/>
                <w:sz w:val="21"/>
                <w:szCs w:val="21"/>
              </w:rPr>
              <w:t>300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94" w:type="dxa"/>
            <w:vMerge w:val="continue"/>
            <w:vAlign w:val="center"/>
          </w:tcPr>
          <w:p>
            <w:pPr>
              <w:spacing w:line="240" w:lineRule="exact"/>
              <w:ind w:firstLine="0"/>
              <w:jc w:val="center"/>
              <w:rPr>
                <w:rFonts w:ascii="Times New Roman" w:eastAsia="仿宋_GB2312"/>
                <w:sz w:val="21"/>
                <w:szCs w:val="21"/>
              </w:rPr>
            </w:pP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小方台</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c>
          <w:tcPr>
            <w:tcW w:w="2037" w:type="dxa"/>
            <w:vAlign w:val="center"/>
          </w:tcPr>
          <w:p>
            <w:pPr>
              <w:spacing w:line="240" w:lineRule="exact"/>
              <w:ind w:firstLine="0"/>
              <w:rPr>
                <w:rFonts w:ascii="Times New Roman" w:eastAsia="仿宋_GB2312"/>
                <w:sz w:val="21"/>
                <w:szCs w:val="21"/>
              </w:rPr>
            </w:pPr>
            <w:r>
              <w:rPr>
                <w:rFonts w:ascii="Times New Roman" w:eastAsia="仿宋_GB2312"/>
                <w:sz w:val="21"/>
                <w:szCs w:val="21"/>
              </w:rPr>
              <w:t>100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194" w:type="dxa"/>
            <w:vAlign w:val="center"/>
          </w:tcPr>
          <w:p>
            <w:pPr>
              <w:spacing w:line="240" w:lineRule="exact"/>
              <w:ind w:firstLine="0"/>
              <w:jc w:val="center"/>
              <w:rPr>
                <w:rFonts w:ascii="Times New Roman" w:eastAsia="仿宋_GB2312"/>
                <w:sz w:val="21"/>
                <w:szCs w:val="21"/>
              </w:rPr>
            </w:pPr>
            <w:r>
              <w:rPr>
                <w:rFonts w:ascii="Times New Roman" w:eastAsia="仿宋_GB2312"/>
                <w:sz w:val="21"/>
                <w:szCs w:val="21"/>
              </w:rPr>
              <w:t>凳子</w:t>
            </w:r>
          </w:p>
        </w:tc>
        <w:tc>
          <w:tcPr>
            <w:tcW w:w="1447" w:type="dxa"/>
            <w:vAlign w:val="center"/>
          </w:tcPr>
          <w:p>
            <w:pPr>
              <w:spacing w:line="240" w:lineRule="exact"/>
              <w:ind w:firstLine="0"/>
              <w:rPr>
                <w:rFonts w:ascii="Times New Roman" w:eastAsia="仿宋_GB2312"/>
                <w:sz w:val="21"/>
                <w:szCs w:val="21"/>
              </w:rPr>
            </w:pPr>
            <w:r>
              <w:rPr>
                <w:rFonts w:ascii="Times New Roman" w:eastAsia="仿宋_GB2312"/>
                <w:sz w:val="21"/>
                <w:szCs w:val="21"/>
              </w:rPr>
              <w:t>长凳、方凳、靠背凳</w:t>
            </w:r>
          </w:p>
        </w:tc>
        <w:tc>
          <w:tcPr>
            <w:tcW w:w="1809" w:type="dxa"/>
            <w:vAlign w:val="center"/>
          </w:tcPr>
          <w:p>
            <w:pPr>
              <w:spacing w:line="240" w:lineRule="exact"/>
              <w:ind w:firstLine="0"/>
              <w:rPr>
                <w:rFonts w:ascii="Times New Roman" w:eastAsia="仿宋_GB2312"/>
                <w:sz w:val="21"/>
                <w:szCs w:val="21"/>
              </w:rPr>
            </w:pPr>
            <w:r>
              <w:rPr>
                <w:rFonts w:ascii="Times New Roman" w:eastAsia="仿宋_GB2312"/>
                <w:sz w:val="21"/>
                <w:szCs w:val="21"/>
              </w:rPr>
              <w:t>木质</w:t>
            </w:r>
          </w:p>
        </w:tc>
        <w:tc>
          <w:tcPr>
            <w:tcW w:w="2037" w:type="dxa"/>
            <w:vAlign w:val="center"/>
          </w:tcPr>
          <w:p>
            <w:pPr>
              <w:spacing w:line="240" w:lineRule="exact"/>
              <w:ind w:firstLine="0"/>
              <w:rPr>
                <w:rFonts w:ascii="Times New Roman" w:eastAsia="仿宋_GB2312"/>
                <w:sz w:val="21"/>
                <w:szCs w:val="21"/>
              </w:rPr>
            </w:pPr>
            <w:r>
              <w:rPr>
                <w:rFonts w:ascii="Times New Roman" w:eastAsia="仿宋_GB2312"/>
                <w:sz w:val="21"/>
                <w:szCs w:val="21"/>
              </w:rPr>
              <w:t>20</w:t>
            </w:r>
          </w:p>
        </w:tc>
        <w:tc>
          <w:tcPr>
            <w:tcW w:w="2765" w:type="dxa"/>
            <w:vAlign w:val="center"/>
          </w:tcPr>
          <w:p>
            <w:pPr>
              <w:spacing w:line="240" w:lineRule="exact"/>
              <w:ind w:firstLine="0"/>
              <w:rPr>
                <w:rFonts w:ascii="Times New Roman" w:eastAsia="仿宋_GB2312"/>
                <w:sz w:val="21"/>
                <w:szCs w:val="21"/>
              </w:rPr>
            </w:pP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194" w:type="dxa"/>
            <w:vAlign w:val="center"/>
          </w:tcPr>
          <w:p>
            <w:pPr>
              <w:spacing w:line="240" w:lineRule="exact"/>
              <w:ind w:firstLine="0"/>
              <w:jc w:val="center"/>
              <w:rPr>
                <w:rFonts w:ascii="Times New Roman"/>
                <w:sz w:val="21"/>
                <w:szCs w:val="21"/>
              </w:rPr>
            </w:pPr>
            <w:r>
              <w:rPr>
                <w:rFonts w:ascii="Times New Roman"/>
                <w:sz w:val="21"/>
                <w:szCs w:val="21"/>
              </w:rPr>
              <w:t>椅子</w:t>
            </w:r>
          </w:p>
        </w:tc>
        <w:tc>
          <w:tcPr>
            <w:tcW w:w="1447" w:type="dxa"/>
            <w:vAlign w:val="center"/>
          </w:tcPr>
          <w:p>
            <w:pPr>
              <w:spacing w:line="240" w:lineRule="exact"/>
              <w:ind w:firstLine="0"/>
              <w:rPr>
                <w:rFonts w:ascii="Times New Roman"/>
                <w:sz w:val="21"/>
                <w:szCs w:val="21"/>
              </w:rPr>
            </w:pPr>
            <w:r>
              <w:rPr>
                <w:rFonts w:ascii="Times New Roman"/>
                <w:sz w:val="21"/>
                <w:szCs w:val="21"/>
              </w:rPr>
              <w:t>--</w:t>
            </w:r>
          </w:p>
        </w:tc>
        <w:tc>
          <w:tcPr>
            <w:tcW w:w="1809" w:type="dxa"/>
            <w:vAlign w:val="center"/>
          </w:tcPr>
          <w:p>
            <w:pPr>
              <w:spacing w:line="240" w:lineRule="exact"/>
              <w:ind w:firstLine="0"/>
              <w:rPr>
                <w:rFonts w:ascii="Times New Roman"/>
                <w:sz w:val="21"/>
                <w:szCs w:val="21"/>
              </w:rPr>
            </w:pPr>
            <w:r>
              <w:rPr>
                <w:rFonts w:ascii="Times New Roman"/>
                <w:sz w:val="21"/>
                <w:szCs w:val="21"/>
              </w:rPr>
              <w:t>--</w:t>
            </w:r>
          </w:p>
        </w:tc>
        <w:tc>
          <w:tcPr>
            <w:tcW w:w="2037" w:type="dxa"/>
            <w:vAlign w:val="center"/>
          </w:tcPr>
          <w:p>
            <w:pPr>
              <w:spacing w:line="240" w:lineRule="exact"/>
              <w:ind w:firstLine="0"/>
              <w:rPr>
                <w:rFonts w:ascii="Times New Roman"/>
                <w:sz w:val="21"/>
                <w:szCs w:val="21"/>
              </w:rPr>
            </w:pPr>
            <w:r>
              <w:rPr>
                <w:rFonts w:ascii="Times New Roman"/>
                <w:sz w:val="21"/>
                <w:szCs w:val="21"/>
              </w:rPr>
              <w:t>50</w:t>
            </w:r>
          </w:p>
        </w:tc>
        <w:tc>
          <w:tcPr>
            <w:tcW w:w="2765" w:type="dxa"/>
            <w:vAlign w:val="center"/>
          </w:tcPr>
          <w:p>
            <w:pPr>
              <w:spacing w:line="240" w:lineRule="exact"/>
              <w:ind w:firstLine="0"/>
              <w:rPr>
                <w:rFonts w:ascii="Times New Roman"/>
                <w:sz w:val="21"/>
                <w:szCs w:val="21"/>
              </w:rPr>
            </w:pPr>
            <w:r>
              <w:rPr>
                <w:rFonts w:ascii="Times New Roman"/>
                <w:sz w:val="21"/>
                <w:szCs w:val="21"/>
              </w:rPr>
              <w:t>不论材质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Merge w:val="restart"/>
            <w:vAlign w:val="center"/>
          </w:tcPr>
          <w:p>
            <w:pPr>
              <w:spacing w:line="240" w:lineRule="exact"/>
              <w:ind w:firstLine="0"/>
              <w:jc w:val="center"/>
              <w:rPr>
                <w:rFonts w:ascii="Times New Roman"/>
                <w:sz w:val="21"/>
                <w:szCs w:val="21"/>
              </w:rPr>
            </w:pPr>
            <w:r>
              <w:rPr>
                <w:rFonts w:ascii="Times New Roman"/>
                <w:sz w:val="21"/>
                <w:szCs w:val="21"/>
              </w:rPr>
              <w:t>柜子</w:t>
            </w:r>
          </w:p>
        </w:tc>
        <w:tc>
          <w:tcPr>
            <w:tcW w:w="1447" w:type="dxa"/>
            <w:vAlign w:val="center"/>
          </w:tcPr>
          <w:p>
            <w:pPr>
              <w:spacing w:line="240" w:lineRule="exact"/>
              <w:ind w:firstLine="0"/>
              <w:rPr>
                <w:rFonts w:ascii="Times New Roman"/>
                <w:sz w:val="21"/>
                <w:szCs w:val="21"/>
              </w:rPr>
            </w:pPr>
            <w:r>
              <w:rPr>
                <w:rFonts w:ascii="Times New Roman"/>
                <w:sz w:val="21"/>
                <w:szCs w:val="21"/>
              </w:rPr>
              <w:t>衣柜</w:t>
            </w:r>
          </w:p>
        </w:tc>
        <w:tc>
          <w:tcPr>
            <w:tcW w:w="1809" w:type="dxa"/>
            <w:vAlign w:val="center"/>
          </w:tcPr>
          <w:p>
            <w:pPr>
              <w:spacing w:line="240" w:lineRule="exact"/>
              <w:ind w:firstLine="0"/>
              <w:rPr>
                <w:rFonts w:ascii="Times New Roman"/>
                <w:sz w:val="21"/>
                <w:szCs w:val="21"/>
              </w:rPr>
            </w:pPr>
            <w:r>
              <w:rPr>
                <w:rFonts w:ascii="Times New Roman"/>
                <w:sz w:val="21"/>
                <w:szCs w:val="21"/>
              </w:rPr>
              <w:t>两门为一组</w:t>
            </w:r>
          </w:p>
        </w:tc>
        <w:tc>
          <w:tcPr>
            <w:tcW w:w="2037" w:type="dxa"/>
            <w:vAlign w:val="center"/>
          </w:tcPr>
          <w:p>
            <w:pPr>
              <w:spacing w:line="240" w:lineRule="exact"/>
              <w:ind w:firstLine="0"/>
              <w:rPr>
                <w:rFonts w:ascii="Times New Roman"/>
                <w:sz w:val="21"/>
                <w:szCs w:val="21"/>
              </w:rPr>
            </w:pPr>
            <w:r>
              <w:rPr>
                <w:rFonts w:ascii="Times New Roman"/>
                <w:sz w:val="21"/>
                <w:szCs w:val="21"/>
              </w:rPr>
              <w:t>200</w:t>
            </w:r>
          </w:p>
        </w:tc>
        <w:tc>
          <w:tcPr>
            <w:tcW w:w="2765" w:type="dxa"/>
            <w:vAlign w:val="center"/>
          </w:tcPr>
          <w:p>
            <w:pPr>
              <w:spacing w:line="240" w:lineRule="exact"/>
              <w:ind w:firstLine="0"/>
              <w:rPr>
                <w:rFonts w:ascii="Times New Roman"/>
                <w:sz w:val="21"/>
                <w:szCs w:val="21"/>
              </w:rPr>
            </w:pP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194" w:type="dxa"/>
            <w:vMerge w:val="continue"/>
            <w:vAlign w:val="center"/>
          </w:tcPr>
          <w:p>
            <w:pPr>
              <w:spacing w:line="240" w:lineRule="exact"/>
              <w:ind w:firstLine="0"/>
              <w:jc w:val="center"/>
              <w:rPr>
                <w:rFonts w:ascii="Times New Roman"/>
                <w:sz w:val="21"/>
                <w:szCs w:val="21"/>
              </w:rPr>
            </w:pPr>
          </w:p>
        </w:tc>
        <w:tc>
          <w:tcPr>
            <w:tcW w:w="1447" w:type="dxa"/>
            <w:vAlign w:val="center"/>
          </w:tcPr>
          <w:p>
            <w:pPr>
              <w:spacing w:line="240" w:lineRule="exact"/>
              <w:ind w:firstLine="0"/>
              <w:rPr>
                <w:rFonts w:ascii="Times New Roman"/>
                <w:sz w:val="21"/>
                <w:szCs w:val="21"/>
              </w:rPr>
            </w:pPr>
            <w:r>
              <w:rPr>
                <w:rFonts w:ascii="Times New Roman"/>
                <w:sz w:val="21"/>
                <w:szCs w:val="21"/>
              </w:rPr>
              <w:t>电视柜等</w:t>
            </w:r>
          </w:p>
        </w:tc>
        <w:tc>
          <w:tcPr>
            <w:tcW w:w="1809" w:type="dxa"/>
            <w:vAlign w:val="center"/>
          </w:tcPr>
          <w:p>
            <w:pPr>
              <w:spacing w:line="240" w:lineRule="exact"/>
              <w:ind w:firstLine="0"/>
              <w:rPr>
                <w:rFonts w:ascii="Times New Roman"/>
                <w:sz w:val="21"/>
                <w:szCs w:val="21"/>
              </w:rPr>
            </w:pPr>
            <w:r>
              <w:rPr>
                <w:rFonts w:ascii="Times New Roman"/>
                <w:sz w:val="21"/>
                <w:szCs w:val="21"/>
              </w:rPr>
              <w:t>--</w:t>
            </w:r>
          </w:p>
        </w:tc>
        <w:tc>
          <w:tcPr>
            <w:tcW w:w="2037" w:type="dxa"/>
            <w:vAlign w:val="center"/>
          </w:tcPr>
          <w:p>
            <w:pPr>
              <w:spacing w:line="240" w:lineRule="exact"/>
              <w:ind w:firstLine="0"/>
              <w:rPr>
                <w:rFonts w:ascii="Times New Roman"/>
                <w:sz w:val="21"/>
                <w:szCs w:val="21"/>
              </w:rPr>
            </w:pPr>
            <w:r>
              <w:rPr>
                <w:rFonts w:ascii="Times New Roman"/>
                <w:sz w:val="21"/>
                <w:szCs w:val="21"/>
              </w:rPr>
              <w:t>100</w:t>
            </w:r>
          </w:p>
        </w:tc>
        <w:tc>
          <w:tcPr>
            <w:tcW w:w="2765" w:type="dxa"/>
            <w:vAlign w:val="center"/>
          </w:tcPr>
          <w:p>
            <w:pPr>
              <w:spacing w:line="240" w:lineRule="exact"/>
              <w:ind w:firstLine="0"/>
              <w:rPr>
                <w:rFonts w:ascii="Times New Roman"/>
                <w:sz w:val="21"/>
                <w:szCs w:val="21"/>
              </w:rPr>
            </w:pP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sz w:val="21"/>
                <w:szCs w:val="21"/>
              </w:rPr>
            </w:pPr>
            <w:r>
              <w:rPr>
                <w:rFonts w:ascii="Times New Roman"/>
                <w:sz w:val="21"/>
                <w:szCs w:val="21"/>
              </w:rPr>
              <w:t>台盆</w:t>
            </w:r>
          </w:p>
        </w:tc>
        <w:tc>
          <w:tcPr>
            <w:tcW w:w="1447" w:type="dxa"/>
            <w:vAlign w:val="center"/>
          </w:tcPr>
          <w:p>
            <w:pPr>
              <w:spacing w:line="240" w:lineRule="exact"/>
              <w:ind w:firstLine="0"/>
              <w:rPr>
                <w:rFonts w:ascii="Times New Roman"/>
                <w:sz w:val="21"/>
                <w:szCs w:val="21"/>
              </w:rPr>
            </w:pPr>
            <w:r>
              <w:rPr>
                <w:rFonts w:ascii="Times New Roman"/>
                <w:sz w:val="21"/>
                <w:szCs w:val="21"/>
              </w:rPr>
              <w:t>--</w:t>
            </w:r>
          </w:p>
        </w:tc>
        <w:tc>
          <w:tcPr>
            <w:tcW w:w="1809" w:type="dxa"/>
            <w:vAlign w:val="center"/>
          </w:tcPr>
          <w:p>
            <w:pPr>
              <w:spacing w:line="240" w:lineRule="exact"/>
              <w:ind w:firstLine="0"/>
              <w:rPr>
                <w:rFonts w:ascii="Times New Roman"/>
                <w:sz w:val="21"/>
                <w:szCs w:val="21"/>
              </w:rPr>
            </w:pPr>
            <w:r>
              <w:rPr>
                <w:rFonts w:ascii="Times New Roman"/>
                <w:sz w:val="21"/>
                <w:szCs w:val="21"/>
              </w:rPr>
              <w:t>--</w:t>
            </w:r>
          </w:p>
        </w:tc>
        <w:tc>
          <w:tcPr>
            <w:tcW w:w="2037" w:type="dxa"/>
            <w:vAlign w:val="center"/>
          </w:tcPr>
          <w:p>
            <w:pPr>
              <w:spacing w:line="240" w:lineRule="exact"/>
              <w:ind w:firstLine="0"/>
              <w:rPr>
                <w:rFonts w:ascii="Times New Roman"/>
                <w:sz w:val="21"/>
                <w:szCs w:val="21"/>
              </w:rPr>
            </w:pPr>
            <w:r>
              <w:rPr>
                <w:rFonts w:ascii="Times New Roman"/>
                <w:sz w:val="21"/>
                <w:szCs w:val="21"/>
              </w:rPr>
              <w:t>100</w:t>
            </w:r>
          </w:p>
        </w:tc>
        <w:tc>
          <w:tcPr>
            <w:tcW w:w="2765" w:type="dxa"/>
            <w:vAlign w:val="center"/>
          </w:tcPr>
          <w:p>
            <w:pPr>
              <w:spacing w:line="240" w:lineRule="exact"/>
              <w:ind w:firstLine="0"/>
              <w:rPr>
                <w:rFonts w:ascii="Times New Roman"/>
                <w:sz w:val="21"/>
                <w:szCs w:val="21"/>
              </w:rPr>
            </w:pP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194" w:type="dxa"/>
            <w:vAlign w:val="center"/>
          </w:tcPr>
          <w:p>
            <w:pPr>
              <w:spacing w:line="240" w:lineRule="exact"/>
              <w:ind w:firstLine="0"/>
              <w:jc w:val="center"/>
              <w:rPr>
                <w:rFonts w:ascii="Times New Roman"/>
                <w:sz w:val="21"/>
                <w:szCs w:val="21"/>
              </w:rPr>
            </w:pPr>
            <w:r>
              <w:rPr>
                <w:rFonts w:ascii="Times New Roman"/>
                <w:sz w:val="21"/>
                <w:szCs w:val="21"/>
              </w:rPr>
              <w:t>马桶</w:t>
            </w:r>
          </w:p>
        </w:tc>
        <w:tc>
          <w:tcPr>
            <w:tcW w:w="1447" w:type="dxa"/>
            <w:vAlign w:val="center"/>
          </w:tcPr>
          <w:p>
            <w:pPr>
              <w:spacing w:line="240" w:lineRule="exact"/>
              <w:ind w:firstLine="0"/>
              <w:rPr>
                <w:rFonts w:ascii="Times New Roman"/>
                <w:sz w:val="21"/>
                <w:szCs w:val="21"/>
              </w:rPr>
            </w:pPr>
            <w:r>
              <w:rPr>
                <w:rFonts w:ascii="Times New Roman"/>
                <w:sz w:val="21"/>
                <w:szCs w:val="21"/>
              </w:rPr>
              <w:t>--</w:t>
            </w:r>
          </w:p>
        </w:tc>
        <w:tc>
          <w:tcPr>
            <w:tcW w:w="1809" w:type="dxa"/>
            <w:vAlign w:val="center"/>
          </w:tcPr>
          <w:p>
            <w:pPr>
              <w:spacing w:line="240" w:lineRule="exact"/>
              <w:ind w:firstLine="0"/>
              <w:rPr>
                <w:rFonts w:ascii="Times New Roman"/>
                <w:sz w:val="21"/>
                <w:szCs w:val="21"/>
              </w:rPr>
            </w:pPr>
            <w:r>
              <w:rPr>
                <w:rFonts w:ascii="Times New Roman"/>
                <w:sz w:val="21"/>
                <w:szCs w:val="21"/>
              </w:rPr>
              <w:t>--</w:t>
            </w:r>
          </w:p>
        </w:tc>
        <w:tc>
          <w:tcPr>
            <w:tcW w:w="2037" w:type="dxa"/>
            <w:vAlign w:val="center"/>
          </w:tcPr>
          <w:p>
            <w:pPr>
              <w:spacing w:line="240" w:lineRule="exact"/>
              <w:ind w:firstLine="0"/>
              <w:rPr>
                <w:rFonts w:ascii="Times New Roman"/>
                <w:sz w:val="21"/>
                <w:szCs w:val="21"/>
              </w:rPr>
            </w:pPr>
            <w:r>
              <w:rPr>
                <w:rFonts w:ascii="Times New Roman"/>
                <w:sz w:val="21"/>
                <w:szCs w:val="21"/>
              </w:rPr>
              <w:t>200</w:t>
            </w:r>
          </w:p>
        </w:tc>
        <w:tc>
          <w:tcPr>
            <w:tcW w:w="2765" w:type="dxa"/>
            <w:vAlign w:val="center"/>
          </w:tcPr>
          <w:p>
            <w:pPr>
              <w:spacing w:line="240" w:lineRule="exact"/>
              <w:ind w:firstLine="0"/>
              <w:rPr>
                <w:rFonts w:ascii="Times New Roman"/>
                <w:sz w:val="21"/>
                <w:szCs w:val="21"/>
              </w:rPr>
            </w:pP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sz w:val="21"/>
                <w:szCs w:val="21"/>
              </w:rPr>
            </w:pPr>
            <w:r>
              <w:rPr>
                <w:rFonts w:ascii="Times New Roman"/>
                <w:sz w:val="21"/>
                <w:szCs w:val="21"/>
              </w:rPr>
              <w:t>浴缸</w:t>
            </w:r>
          </w:p>
        </w:tc>
        <w:tc>
          <w:tcPr>
            <w:tcW w:w="1447" w:type="dxa"/>
            <w:vAlign w:val="center"/>
          </w:tcPr>
          <w:p>
            <w:pPr>
              <w:spacing w:line="240" w:lineRule="exact"/>
              <w:ind w:firstLine="0"/>
              <w:rPr>
                <w:rFonts w:ascii="Times New Roman"/>
                <w:sz w:val="21"/>
                <w:szCs w:val="21"/>
              </w:rPr>
            </w:pPr>
            <w:r>
              <w:rPr>
                <w:rFonts w:ascii="Times New Roman"/>
                <w:sz w:val="21"/>
                <w:szCs w:val="21"/>
              </w:rPr>
              <w:t>--</w:t>
            </w:r>
          </w:p>
        </w:tc>
        <w:tc>
          <w:tcPr>
            <w:tcW w:w="1809" w:type="dxa"/>
            <w:vAlign w:val="center"/>
          </w:tcPr>
          <w:p>
            <w:pPr>
              <w:spacing w:line="240" w:lineRule="exact"/>
              <w:ind w:firstLine="0"/>
              <w:rPr>
                <w:rFonts w:ascii="Times New Roman"/>
                <w:sz w:val="21"/>
                <w:szCs w:val="21"/>
              </w:rPr>
            </w:pPr>
            <w:r>
              <w:rPr>
                <w:rFonts w:ascii="Times New Roman"/>
                <w:sz w:val="21"/>
                <w:szCs w:val="21"/>
              </w:rPr>
              <w:t>--</w:t>
            </w:r>
          </w:p>
        </w:tc>
        <w:tc>
          <w:tcPr>
            <w:tcW w:w="2037" w:type="dxa"/>
            <w:vAlign w:val="center"/>
          </w:tcPr>
          <w:p>
            <w:pPr>
              <w:spacing w:line="240" w:lineRule="exact"/>
              <w:ind w:firstLine="0"/>
              <w:rPr>
                <w:rFonts w:ascii="Times New Roman"/>
                <w:sz w:val="21"/>
                <w:szCs w:val="21"/>
              </w:rPr>
            </w:pPr>
            <w:r>
              <w:rPr>
                <w:rFonts w:ascii="Times New Roman"/>
                <w:sz w:val="21"/>
                <w:szCs w:val="21"/>
              </w:rPr>
              <w:t>300</w:t>
            </w:r>
          </w:p>
        </w:tc>
        <w:tc>
          <w:tcPr>
            <w:tcW w:w="2765" w:type="dxa"/>
            <w:vAlign w:val="center"/>
          </w:tcPr>
          <w:p>
            <w:pPr>
              <w:spacing w:line="240" w:lineRule="exact"/>
              <w:ind w:firstLine="0"/>
              <w:rPr>
                <w:rFonts w:ascii="Times New Roman"/>
                <w:sz w:val="21"/>
                <w:szCs w:val="21"/>
              </w:rPr>
            </w:pP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194" w:type="dxa"/>
            <w:vAlign w:val="center"/>
          </w:tcPr>
          <w:p>
            <w:pPr>
              <w:spacing w:line="240" w:lineRule="exact"/>
              <w:ind w:firstLine="0"/>
              <w:jc w:val="center"/>
              <w:rPr>
                <w:rFonts w:ascii="Times New Roman"/>
                <w:sz w:val="21"/>
                <w:szCs w:val="21"/>
              </w:rPr>
            </w:pPr>
            <w:r>
              <w:rPr>
                <w:rFonts w:ascii="Times New Roman"/>
                <w:sz w:val="21"/>
                <w:szCs w:val="21"/>
              </w:rPr>
              <w:t>浴霸</w:t>
            </w:r>
          </w:p>
        </w:tc>
        <w:tc>
          <w:tcPr>
            <w:tcW w:w="1447" w:type="dxa"/>
            <w:vAlign w:val="center"/>
          </w:tcPr>
          <w:p>
            <w:pPr>
              <w:spacing w:line="240" w:lineRule="exact"/>
              <w:ind w:firstLine="0"/>
              <w:rPr>
                <w:rFonts w:ascii="Times New Roman"/>
                <w:sz w:val="21"/>
                <w:szCs w:val="21"/>
              </w:rPr>
            </w:pPr>
            <w:r>
              <w:rPr>
                <w:rFonts w:ascii="Times New Roman"/>
                <w:sz w:val="21"/>
                <w:szCs w:val="21"/>
              </w:rPr>
              <w:t>--</w:t>
            </w:r>
          </w:p>
        </w:tc>
        <w:tc>
          <w:tcPr>
            <w:tcW w:w="1809" w:type="dxa"/>
            <w:vAlign w:val="center"/>
          </w:tcPr>
          <w:p>
            <w:pPr>
              <w:spacing w:line="240" w:lineRule="exact"/>
              <w:ind w:firstLine="0"/>
              <w:rPr>
                <w:rFonts w:ascii="Times New Roman"/>
                <w:sz w:val="21"/>
                <w:szCs w:val="21"/>
              </w:rPr>
            </w:pPr>
            <w:r>
              <w:rPr>
                <w:rFonts w:ascii="Times New Roman"/>
                <w:sz w:val="21"/>
                <w:szCs w:val="21"/>
              </w:rPr>
              <w:t>--</w:t>
            </w:r>
          </w:p>
        </w:tc>
        <w:tc>
          <w:tcPr>
            <w:tcW w:w="2037" w:type="dxa"/>
            <w:vAlign w:val="center"/>
          </w:tcPr>
          <w:p>
            <w:pPr>
              <w:spacing w:line="240" w:lineRule="exact"/>
              <w:ind w:firstLine="0"/>
              <w:rPr>
                <w:rFonts w:ascii="Times New Roman"/>
                <w:sz w:val="21"/>
                <w:szCs w:val="21"/>
              </w:rPr>
            </w:pPr>
            <w:r>
              <w:rPr>
                <w:rFonts w:ascii="Times New Roman"/>
                <w:sz w:val="21"/>
                <w:szCs w:val="21"/>
              </w:rPr>
              <w:t>200</w:t>
            </w:r>
          </w:p>
        </w:tc>
        <w:tc>
          <w:tcPr>
            <w:tcW w:w="2765" w:type="dxa"/>
            <w:vAlign w:val="center"/>
          </w:tcPr>
          <w:p>
            <w:pPr>
              <w:spacing w:line="240" w:lineRule="exact"/>
              <w:ind w:firstLine="0"/>
              <w:rPr>
                <w:rFonts w:ascii="Times New Roman"/>
                <w:sz w:val="21"/>
                <w:szCs w:val="21"/>
              </w:rPr>
            </w:pP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sz w:val="21"/>
                <w:szCs w:val="21"/>
              </w:rPr>
            </w:pPr>
            <w:r>
              <w:rPr>
                <w:rFonts w:ascii="Times New Roman"/>
                <w:sz w:val="21"/>
                <w:szCs w:val="21"/>
              </w:rPr>
              <w:t>水龙头</w:t>
            </w:r>
          </w:p>
        </w:tc>
        <w:tc>
          <w:tcPr>
            <w:tcW w:w="1447" w:type="dxa"/>
            <w:vAlign w:val="center"/>
          </w:tcPr>
          <w:p>
            <w:pPr>
              <w:spacing w:line="240" w:lineRule="exact"/>
              <w:ind w:firstLine="0"/>
              <w:rPr>
                <w:rFonts w:ascii="Times New Roman"/>
                <w:sz w:val="21"/>
                <w:szCs w:val="21"/>
              </w:rPr>
            </w:pPr>
            <w:r>
              <w:rPr>
                <w:rFonts w:ascii="Times New Roman"/>
                <w:sz w:val="21"/>
                <w:szCs w:val="21"/>
              </w:rPr>
              <w:t>--</w:t>
            </w:r>
          </w:p>
        </w:tc>
        <w:tc>
          <w:tcPr>
            <w:tcW w:w="1809" w:type="dxa"/>
            <w:vAlign w:val="center"/>
          </w:tcPr>
          <w:p>
            <w:pPr>
              <w:spacing w:line="240" w:lineRule="exact"/>
              <w:ind w:firstLine="0"/>
              <w:rPr>
                <w:rFonts w:ascii="Times New Roman"/>
                <w:sz w:val="21"/>
                <w:szCs w:val="21"/>
              </w:rPr>
            </w:pPr>
            <w:r>
              <w:rPr>
                <w:rFonts w:ascii="Times New Roman"/>
                <w:sz w:val="21"/>
                <w:szCs w:val="21"/>
              </w:rPr>
              <w:t>冷热双管</w:t>
            </w:r>
          </w:p>
        </w:tc>
        <w:tc>
          <w:tcPr>
            <w:tcW w:w="2037" w:type="dxa"/>
            <w:vAlign w:val="center"/>
          </w:tcPr>
          <w:p>
            <w:pPr>
              <w:spacing w:line="240" w:lineRule="exact"/>
              <w:ind w:firstLine="0"/>
              <w:rPr>
                <w:rFonts w:ascii="Times New Roman"/>
                <w:sz w:val="21"/>
                <w:szCs w:val="21"/>
              </w:rPr>
            </w:pPr>
            <w:r>
              <w:rPr>
                <w:rFonts w:ascii="Times New Roman"/>
                <w:sz w:val="21"/>
                <w:szCs w:val="21"/>
              </w:rPr>
              <w:t>50</w:t>
            </w:r>
          </w:p>
        </w:tc>
        <w:tc>
          <w:tcPr>
            <w:tcW w:w="2765" w:type="dxa"/>
            <w:vAlign w:val="center"/>
          </w:tcPr>
          <w:p>
            <w:pPr>
              <w:spacing w:line="240" w:lineRule="exact"/>
              <w:ind w:firstLine="0"/>
              <w:rPr>
                <w:rFonts w:ascii="Times New Roman"/>
                <w:sz w:val="21"/>
                <w:szCs w:val="21"/>
              </w:rPr>
            </w:pPr>
            <w:r>
              <w:rPr>
                <w:rFonts w:ascii="Times New Roman"/>
                <w:sz w:val="21"/>
                <w:szCs w:val="21"/>
              </w:rPr>
              <w:t>普通单管不作补贴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sz w:val="21"/>
                <w:szCs w:val="21"/>
              </w:rPr>
            </w:pPr>
            <w:r>
              <w:rPr>
                <w:rFonts w:ascii="Times New Roman"/>
                <w:sz w:val="21"/>
                <w:szCs w:val="21"/>
              </w:rPr>
              <w:t>自行车</w:t>
            </w:r>
          </w:p>
        </w:tc>
        <w:tc>
          <w:tcPr>
            <w:tcW w:w="1447" w:type="dxa"/>
            <w:vAlign w:val="center"/>
          </w:tcPr>
          <w:p>
            <w:pPr>
              <w:spacing w:line="240" w:lineRule="exact"/>
              <w:ind w:firstLine="0"/>
              <w:rPr>
                <w:rFonts w:ascii="Times New Roman"/>
                <w:sz w:val="21"/>
                <w:szCs w:val="21"/>
              </w:rPr>
            </w:pPr>
            <w:r>
              <w:rPr>
                <w:rFonts w:ascii="Times New Roman"/>
                <w:sz w:val="21"/>
                <w:szCs w:val="21"/>
              </w:rPr>
              <w:t>--</w:t>
            </w:r>
          </w:p>
        </w:tc>
        <w:tc>
          <w:tcPr>
            <w:tcW w:w="1809" w:type="dxa"/>
            <w:vAlign w:val="center"/>
          </w:tcPr>
          <w:p>
            <w:pPr>
              <w:spacing w:line="240" w:lineRule="exact"/>
              <w:ind w:firstLine="0"/>
              <w:rPr>
                <w:rFonts w:ascii="Times New Roman"/>
                <w:sz w:val="21"/>
                <w:szCs w:val="21"/>
              </w:rPr>
            </w:pPr>
            <w:r>
              <w:rPr>
                <w:rFonts w:ascii="Times New Roman"/>
                <w:sz w:val="21"/>
                <w:szCs w:val="21"/>
              </w:rPr>
              <w:t>--</w:t>
            </w:r>
          </w:p>
        </w:tc>
        <w:tc>
          <w:tcPr>
            <w:tcW w:w="2037" w:type="dxa"/>
            <w:vAlign w:val="center"/>
          </w:tcPr>
          <w:p>
            <w:pPr>
              <w:spacing w:line="240" w:lineRule="exact"/>
              <w:ind w:firstLine="0"/>
              <w:rPr>
                <w:rFonts w:ascii="Times New Roman"/>
                <w:sz w:val="21"/>
                <w:szCs w:val="21"/>
              </w:rPr>
            </w:pPr>
            <w:r>
              <w:rPr>
                <w:rFonts w:ascii="Times New Roman"/>
                <w:sz w:val="21"/>
                <w:szCs w:val="21"/>
              </w:rPr>
              <w:t>100</w:t>
            </w:r>
          </w:p>
        </w:tc>
        <w:tc>
          <w:tcPr>
            <w:tcW w:w="2765" w:type="dxa"/>
            <w:vAlign w:val="center"/>
          </w:tcPr>
          <w:p>
            <w:pPr>
              <w:spacing w:line="240" w:lineRule="exact"/>
              <w:ind w:firstLine="0"/>
              <w:rPr>
                <w:rFonts w:ascii="Times New Roman"/>
                <w:sz w:val="21"/>
                <w:szCs w:val="21"/>
              </w:rPr>
            </w:pP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94" w:type="dxa"/>
            <w:vAlign w:val="center"/>
          </w:tcPr>
          <w:p>
            <w:pPr>
              <w:spacing w:line="240" w:lineRule="exact"/>
              <w:ind w:firstLine="0"/>
              <w:jc w:val="center"/>
              <w:rPr>
                <w:rFonts w:ascii="Times New Roman"/>
                <w:sz w:val="21"/>
                <w:szCs w:val="21"/>
              </w:rPr>
            </w:pPr>
            <w:r>
              <w:rPr>
                <w:rFonts w:ascii="Times New Roman"/>
                <w:sz w:val="21"/>
                <w:szCs w:val="21"/>
              </w:rPr>
              <w:t>电瓶车</w:t>
            </w:r>
          </w:p>
        </w:tc>
        <w:tc>
          <w:tcPr>
            <w:tcW w:w="1447" w:type="dxa"/>
            <w:vAlign w:val="center"/>
          </w:tcPr>
          <w:p>
            <w:pPr>
              <w:spacing w:line="240" w:lineRule="exact"/>
              <w:ind w:firstLine="0"/>
              <w:rPr>
                <w:rFonts w:ascii="Times New Roman"/>
                <w:sz w:val="21"/>
                <w:szCs w:val="21"/>
              </w:rPr>
            </w:pPr>
            <w:r>
              <w:rPr>
                <w:rFonts w:ascii="Times New Roman"/>
                <w:sz w:val="21"/>
                <w:szCs w:val="21"/>
              </w:rPr>
              <w:t>--</w:t>
            </w:r>
          </w:p>
        </w:tc>
        <w:tc>
          <w:tcPr>
            <w:tcW w:w="1809" w:type="dxa"/>
            <w:vAlign w:val="center"/>
          </w:tcPr>
          <w:p>
            <w:pPr>
              <w:spacing w:line="240" w:lineRule="exact"/>
              <w:ind w:firstLine="0"/>
              <w:rPr>
                <w:rFonts w:ascii="Times New Roman"/>
                <w:sz w:val="21"/>
                <w:szCs w:val="21"/>
              </w:rPr>
            </w:pPr>
            <w:r>
              <w:rPr>
                <w:rFonts w:ascii="Times New Roman"/>
                <w:sz w:val="21"/>
                <w:szCs w:val="21"/>
              </w:rPr>
              <w:t>--</w:t>
            </w:r>
          </w:p>
        </w:tc>
        <w:tc>
          <w:tcPr>
            <w:tcW w:w="2037" w:type="dxa"/>
            <w:vAlign w:val="center"/>
          </w:tcPr>
          <w:p>
            <w:pPr>
              <w:spacing w:line="240" w:lineRule="exact"/>
              <w:ind w:firstLine="0"/>
              <w:rPr>
                <w:rFonts w:ascii="Times New Roman"/>
                <w:sz w:val="21"/>
                <w:szCs w:val="21"/>
              </w:rPr>
            </w:pPr>
            <w:r>
              <w:rPr>
                <w:rFonts w:ascii="Times New Roman"/>
                <w:sz w:val="21"/>
                <w:szCs w:val="21"/>
              </w:rPr>
              <w:t>500</w:t>
            </w:r>
          </w:p>
        </w:tc>
        <w:tc>
          <w:tcPr>
            <w:tcW w:w="2765" w:type="dxa"/>
            <w:vAlign w:val="center"/>
          </w:tcPr>
          <w:p>
            <w:pPr>
              <w:spacing w:line="240" w:lineRule="exact"/>
              <w:ind w:firstLine="0"/>
              <w:rPr>
                <w:rFonts w:ascii="Times New Roman"/>
                <w:sz w:val="21"/>
                <w:szCs w:val="21"/>
              </w:rPr>
            </w:pPr>
            <w:r>
              <w:rPr>
                <w:rFonts w:ascii="Times New Roman"/>
                <w:sz w:val="21"/>
                <w:szCs w:val="21"/>
              </w:rPr>
              <w:t>三轮电瓶车不作补贴</w:t>
            </w:r>
          </w:p>
        </w:tc>
      </w:tr>
    </w:tbl>
    <w:p>
      <w:pPr>
        <w:spacing w:line="440" w:lineRule="exact"/>
        <w:ind w:firstLine="560" w:firstLineChars="200"/>
        <w:rPr>
          <w:rFonts w:ascii="Times New Roman" w:eastAsia="仿宋_GB2312"/>
          <w:sz w:val="28"/>
          <w:szCs w:val="28"/>
        </w:rPr>
      </w:pPr>
      <w:r>
        <w:rPr>
          <w:rFonts w:ascii="Times New Roman" w:eastAsia="仿宋_GB2312"/>
          <w:sz w:val="28"/>
          <w:szCs w:val="28"/>
        </w:rPr>
        <w:t>（1）以上一次性定额补贴方案以基本生活设施全损（或无修复价值）为赔偿基础；对能修复的，不作补贴。</w:t>
      </w:r>
    </w:p>
    <w:p>
      <w:pPr>
        <w:spacing w:line="440" w:lineRule="exact"/>
        <w:ind w:firstLine="560" w:firstLineChars="200"/>
        <w:rPr>
          <w:rFonts w:ascii="Times New Roman" w:eastAsia="仿宋_GB2312"/>
          <w:sz w:val="28"/>
          <w:szCs w:val="28"/>
        </w:rPr>
      </w:pPr>
      <w:r>
        <w:rPr>
          <w:rFonts w:ascii="Times New Roman" w:eastAsia="仿宋_GB2312"/>
          <w:sz w:val="28"/>
          <w:szCs w:val="28"/>
        </w:rPr>
        <w:t>（2）室内电器等因自燃、雷击等造成的单独损坏（未引起明火或没有造成明显的火灾事故）不作补贴。</w:t>
      </w:r>
    </w:p>
    <w:p>
      <w:pPr>
        <w:spacing w:line="440" w:lineRule="exact"/>
        <w:ind w:firstLine="560" w:firstLineChars="200"/>
        <w:rPr>
          <w:rFonts w:ascii="Times New Roman" w:eastAsia="仿宋_GB2312"/>
          <w:sz w:val="28"/>
          <w:szCs w:val="28"/>
        </w:rPr>
      </w:pPr>
      <w:r>
        <w:rPr>
          <w:rFonts w:ascii="Times New Roman" w:eastAsia="仿宋_GB2312"/>
          <w:sz w:val="28"/>
          <w:szCs w:val="28"/>
        </w:rPr>
        <w:t>（3）其他未尽设施，待提出讨论后另行补充完善。</w:t>
      </w:r>
    </w:p>
    <w:p>
      <w:pPr>
        <w:spacing w:line="440" w:lineRule="exact"/>
        <w:ind w:firstLine="560" w:firstLineChars="200"/>
        <w:rPr>
          <w:rFonts w:ascii="Times New Roman" w:eastAsia="黑体"/>
          <w:bCs/>
          <w:sz w:val="28"/>
          <w:szCs w:val="28"/>
        </w:rPr>
      </w:pPr>
      <w:r>
        <w:rPr>
          <w:rFonts w:ascii="Times New Roman" w:eastAsia="黑体"/>
          <w:bCs/>
          <w:sz w:val="28"/>
          <w:szCs w:val="28"/>
        </w:rPr>
        <w:t>5.几点说明</w:t>
      </w:r>
    </w:p>
    <w:p>
      <w:pPr>
        <w:pStyle w:val="5"/>
        <w:spacing w:line="440" w:lineRule="exact"/>
        <w:ind w:firstLine="560" w:firstLineChars="200"/>
        <w:rPr>
          <w:rFonts w:ascii="Times New Roman" w:eastAsia="仿宋_GB2312"/>
          <w:spacing w:val="0"/>
          <w:sz w:val="28"/>
          <w:szCs w:val="28"/>
        </w:rPr>
      </w:pPr>
      <w:r>
        <w:rPr>
          <w:rFonts w:ascii="Times New Roman" w:eastAsia="仿宋_GB2312"/>
          <w:spacing w:val="0"/>
          <w:sz w:val="28"/>
          <w:szCs w:val="28"/>
        </w:rPr>
        <w:t>（1）火灾（爆炸）责任，按过火面积和烧损程度确定损失程度。</w:t>
      </w:r>
    </w:p>
    <w:p>
      <w:pPr>
        <w:pStyle w:val="5"/>
        <w:spacing w:line="440" w:lineRule="exact"/>
        <w:ind w:firstLine="560" w:firstLineChars="200"/>
        <w:rPr>
          <w:rFonts w:ascii="Times New Roman" w:eastAsia="仿宋_GB2312"/>
          <w:spacing w:val="0"/>
          <w:sz w:val="28"/>
          <w:szCs w:val="28"/>
        </w:rPr>
      </w:pPr>
      <w:r>
        <w:rPr>
          <w:rFonts w:ascii="Times New Roman" w:eastAsia="仿宋_GB2312"/>
          <w:spacing w:val="0"/>
          <w:sz w:val="28"/>
          <w:szCs w:val="28"/>
        </w:rPr>
        <w:t>（2）核损标准以恢复原样为原则，以修复为主。</w:t>
      </w:r>
    </w:p>
    <w:p>
      <w:pPr>
        <w:pStyle w:val="5"/>
        <w:spacing w:line="440" w:lineRule="exact"/>
        <w:ind w:firstLine="560" w:firstLineChars="200"/>
        <w:rPr>
          <w:rFonts w:ascii="Times New Roman" w:eastAsia="仿宋_GB2312"/>
          <w:spacing w:val="0"/>
          <w:sz w:val="28"/>
          <w:szCs w:val="28"/>
        </w:rPr>
      </w:pPr>
      <w:r>
        <w:rPr>
          <w:rFonts w:ascii="Times New Roman" w:eastAsia="仿宋_GB2312"/>
          <w:spacing w:val="0"/>
          <w:sz w:val="28"/>
          <w:szCs w:val="28"/>
        </w:rPr>
        <w:t>（3）商品住房核损标准按上表，特殊案例按流程上报另行确定。</w:t>
      </w:r>
    </w:p>
    <w:p>
      <w:pPr>
        <w:spacing w:line="440" w:lineRule="exact"/>
        <w:ind w:firstLine="0"/>
        <w:rPr>
          <w:rFonts w:ascii="Times New Roman" w:eastAsia="黑体"/>
          <w:szCs w:val="32"/>
        </w:rPr>
      </w:pPr>
      <w:r>
        <w:rPr>
          <w:rFonts w:ascii="Times New Roman" w:eastAsia="仿宋_GB2312"/>
          <w:sz w:val="28"/>
          <w:szCs w:val="28"/>
        </w:rPr>
        <w:br w:type="page"/>
      </w:r>
      <w:r>
        <w:rPr>
          <w:rFonts w:ascii="Times New Roman" w:eastAsia="黑体"/>
          <w:szCs w:val="32"/>
        </w:rPr>
        <w:t>附件3</w:t>
      </w:r>
    </w:p>
    <w:p>
      <w:pPr>
        <w:spacing w:line="440" w:lineRule="exact"/>
        <w:ind w:firstLine="0"/>
        <w:jc w:val="center"/>
        <w:rPr>
          <w:rFonts w:ascii="Times New Roman" w:eastAsia="方正大标宋简体"/>
          <w:sz w:val="36"/>
          <w:szCs w:val="36"/>
        </w:rPr>
      </w:pPr>
    </w:p>
    <w:p>
      <w:pPr>
        <w:spacing w:line="440" w:lineRule="exact"/>
        <w:ind w:firstLine="0"/>
        <w:jc w:val="center"/>
        <w:rPr>
          <w:rFonts w:ascii="Times New Roman" w:eastAsia="方正大标宋简体"/>
          <w:sz w:val="36"/>
          <w:szCs w:val="36"/>
        </w:rPr>
      </w:pPr>
      <w:r>
        <w:rPr>
          <w:rFonts w:ascii="Times New Roman" w:eastAsia="方正大标宋简体"/>
          <w:sz w:val="36"/>
          <w:szCs w:val="36"/>
        </w:rPr>
        <w:t>居民死亡、伤残分年龄段赔偿限额表</w:t>
      </w:r>
    </w:p>
    <w:p>
      <w:pPr>
        <w:spacing w:line="440" w:lineRule="exact"/>
        <w:ind w:firstLine="0"/>
        <w:rPr>
          <w:rFonts w:ascii="Times New Roman" w:eastAsia="宋体"/>
          <w:b/>
          <w:sz w:val="28"/>
          <w:szCs w:val="28"/>
        </w:rPr>
      </w:pPr>
      <w:r>
        <w:rPr>
          <w:rFonts w:ascii="Times New Roman" w:eastAsia="宋体"/>
          <w:b/>
          <w:sz w:val="28"/>
          <w:szCs w:val="28"/>
        </w:rPr>
        <w:t>新方案：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ind w:firstLine="0"/>
              <w:jc w:val="center"/>
              <w:rPr>
                <w:rFonts w:ascii="Times New Roman" w:eastAsia="仿宋_GB2312"/>
                <w:szCs w:val="32"/>
              </w:rPr>
            </w:pPr>
            <w:r>
              <w:rPr>
                <w:rFonts w:ascii="Times New Roman" w:eastAsia="仿宋_GB2312"/>
                <w:sz w:val="28"/>
                <w:szCs w:val="28"/>
              </w:rPr>
              <w:t>出险时年龄</w:t>
            </w:r>
          </w:p>
        </w:tc>
        <w:tc>
          <w:tcPr>
            <w:tcW w:w="2265" w:type="dxa"/>
            <w:vAlign w:val="center"/>
          </w:tcPr>
          <w:p>
            <w:pPr>
              <w:ind w:firstLine="0"/>
              <w:jc w:val="center"/>
              <w:rPr>
                <w:rFonts w:ascii="Times New Roman" w:eastAsia="仿宋_GB2312"/>
                <w:szCs w:val="32"/>
              </w:rPr>
            </w:pPr>
            <w:r>
              <w:rPr>
                <w:rFonts w:ascii="Times New Roman" w:eastAsia="仿宋_GB2312"/>
                <w:sz w:val="28"/>
                <w:szCs w:val="28"/>
              </w:rPr>
              <w:t>0-60周岁（含）</w:t>
            </w:r>
          </w:p>
        </w:tc>
        <w:tc>
          <w:tcPr>
            <w:tcW w:w="2265" w:type="dxa"/>
            <w:vAlign w:val="center"/>
          </w:tcPr>
          <w:p>
            <w:pPr>
              <w:ind w:firstLine="0"/>
              <w:jc w:val="center"/>
              <w:rPr>
                <w:rFonts w:ascii="Times New Roman" w:eastAsia="仿宋_GB2312"/>
                <w:szCs w:val="32"/>
              </w:rPr>
            </w:pPr>
            <w:r>
              <w:rPr>
                <w:rFonts w:ascii="Times New Roman" w:eastAsia="仿宋_GB2312"/>
                <w:szCs w:val="32"/>
              </w:rPr>
              <w:t>60-75周岁</w:t>
            </w:r>
          </w:p>
          <w:p>
            <w:pPr>
              <w:ind w:firstLine="0"/>
              <w:jc w:val="center"/>
              <w:rPr>
                <w:rFonts w:ascii="Times New Roman" w:eastAsia="仿宋_GB2312"/>
                <w:szCs w:val="32"/>
              </w:rPr>
            </w:pPr>
            <w:r>
              <w:rPr>
                <w:rFonts w:ascii="Times New Roman" w:eastAsia="仿宋_GB2312"/>
                <w:szCs w:val="32"/>
              </w:rPr>
              <w:t>（不含）</w:t>
            </w:r>
          </w:p>
        </w:tc>
        <w:tc>
          <w:tcPr>
            <w:tcW w:w="2265" w:type="dxa"/>
            <w:vAlign w:val="center"/>
          </w:tcPr>
          <w:p>
            <w:pPr>
              <w:ind w:firstLine="0"/>
              <w:jc w:val="center"/>
              <w:rPr>
                <w:rFonts w:ascii="Times New Roman" w:eastAsia="仿宋_GB2312"/>
                <w:szCs w:val="32"/>
              </w:rPr>
            </w:pPr>
            <w:r>
              <w:rPr>
                <w:rFonts w:ascii="Times New Roman" w:eastAsia="仿宋_GB2312"/>
                <w:szCs w:val="32"/>
              </w:rPr>
              <w:t>75周岁（含）以上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ind w:firstLine="0"/>
              <w:jc w:val="center"/>
              <w:rPr>
                <w:rFonts w:ascii="Times New Roman" w:eastAsia="仿宋_GB2312"/>
                <w:sz w:val="28"/>
                <w:szCs w:val="28"/>
              </w:rPr>
            </w:pPr>
            <w:r>
              <w:rPr>
                <w:rFonts w:ascii="Times New Roman" w:eastAsia="仿宋_GB2312"/>
                <w:sz w:val="28"/>
                <w:szCs w:val="28"/>
              </w:rPr>
              <w:t>死亡、伤残</w:t>
            </w:r>
          </w:p>
          <w:p>
            <w:pPr>
              <w:ind w:firstLine="0"/>
              <w:jc w:val="center"/>
              <w:rPr>
                <w:rFonts w:ascii="Times New Roman" w:eastAsia="仿宋_GB2312"/>
                <w:szCs w:val="32"/>
              </w:rPr>
            </w:pPr>
            <w:r>
              <w:rPr>
                <w:rFonts w:ascii="Times New Roman" w:eastAsia="仿宋_GB2312"/>
                <w:sz w:val="28"/>
                <w:szCs w:val="28"/>
              </w:rPr>
              <w:t>赔偿限额</w:t>
            </w:r>
          </w:p>
        </w:tc>
        <w:tc>
          <w:tcPr>
            <w:tcW w:w="2265" w:type="dxa"/>
            <w:vAlign w:val="center"/>
          </w:tcPr>
          <w:p>
            <w:pPr>
              <w:ind w:firstLine="0"/>
              <w:jc w:val="center"/>
              <w:rPr>
                <w:rFonts w:ascii="Times New Roman" w:eastAsia="仿宋_GB2312"/>
                <w:szCs w:val="32"/>
                <w:highlight w:val="yellow"/>
              </w:rPr>
            </w:pPr>
            <w:r>
              <w:rPr>
                <w:rFonts w:ascii="Times New Roman" w:eastAsia="仿宋_GB2312"/>
                <w:sz w:val="28"/>
                <w:szCs w:val="28"/>
              </w:rPr>
              <w:t>10万</w:t>
            </w:r>
          </w:p>
        </w:tc>
        <w:tc>
          <w:tcPr>
            <w:tcW w:w="2265" w:type="dxa"/>
            <w:vAlign w:val="center"/>
          </w:tcPr>
          <w:p>
            <w:pPr>
              <w:ind w:firstLine="0"/>
              <w:jc w:val="center"/>
              <w:rPr>
                <w:rFonts w:ascii="Times New Roman" w:eastAsia="仿宋_GB2312"/>
                <w:sz w:val="28"/>
                <w:szCs w:val="28"/>
              </w:rPr>
            </w:pPr>
            <w:r>
              <w:rPr>
                <w:rFonts w:ascii="Times New Roman" w:eastAsia="仿宋_GB2312"/>
                <w:sz w:val="28"/>
                <w:szCs w:val="28"/>
              </w:rPr>
              <w:t>每增加1岁，赔付金额减少5000元</w:t>
            </w:r>
          </w:p>
        </w:tc>
        <w:tc>
          <w:tcPr>
            <w:tcW w:w="2265" w:type="dxa"/>
            <w:vAlign w:val="center"/>
          </w:tcPr>
          <w:p>
            <w:pPr>
              <w:ind w:firstLine="0"/>
              <w:jc w:val="center"/>
              <w:rPr>
                <w:rFonts w:ascii="Times New Roman" w:eastAsia="仿宋_GB2312"/>
                <w:sz w:val="28"/>
                <w:szCs w:val="28"/>
              </w:rPr>
            </w:pPr>
            <w:r>
              <w:rPr>
                <w:rFonts w:ascii="Times New Roman" w:eastAsia="仿宋_GB2312"/>
                <w:sz w:val="28"/>
                <w:szCs w:val="28"/>
              </w:rPr>
              <w:t>最高赔付限额为25000元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ind w:firstLine="0"/>
              <w:jc w:val="center"/>
              <w:rPr>
                <w:rFonts w:ascii="Times New Roman" w:eastAsia="仿宋_GB2312"/>
                <w:szCs w:val="32"/>
              </w:rPr>
            </w:pPr>
            <w:r>
              <w:rPr>
                <w:rFonts w:ascii="Times New Roman" w:eastAsia="仿宋_GB2312"/>
                <w:sz w:val="28"/>
                <w:szCs w:val="28"/>
              </w:rPr>
              <w:t>特别约定</w:t>
            </w:r>
          </w:p>
        </w:tc>
        <w:tc>
          <w:tcPr>
            <w:tcW w:w="6795" w:type="dxa"/>
            <w:gridSpan w:val="3"/>
            <w:vAlign w:val="center"/>
          </w:tcPr>
          <w:p>
            <w:pPr>
              <w:ind w:firstLine="0"/>
              <w:jc w:val="center"/>
              <w:rPr>
                <w:rFonts w:ascii="Times New Roman" w:eastAsia="仿宋_GB2312"/>
                <w:szCs w:val="32"/>
              </w:rPr>
            </w:pPr>
            <w:r>
              <w:rPr>
                <w:rFonts w:ascii="Times New Roman" w:eastAsia="仿宋_GB2312"/>
                <w:sz w:val="28"/>
                <w:szCs w:val="28"/>
              </w:rPr>
              <w:t>因抢险救灾或见义勇为过程中发生人身意外伤害的，其死亡、伤残赔偿限额不受年龄限制。</w:t>
            </w:r>
          </w:p>
        </w:tc>
      </w:tr>
    </w:tbl>
    <w:p>
      <w:pPr>
        <w:ind w:firstLine="0"/>
        <w:rPr>
          <w:rFonts w:ascii="Times New Roman" w:eastAsia="仿宋_GB2312"/>
          <w:b/>
          <w:bCs/>
          <w:szCs w:val="32"/>
        </w:rPr>
      </w:pPr>
      <w:r>
        <w:rPr>
          <w:rFonts w:ascii="Times New Roman" w:eastAsia="仿宋_GB2312"/>
          <w:b/>
          <w:bCs/>
          <w:szCs w:val="32"/>
        </w:rPr>
        <w:t>原方案如下：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vAlign w:val="center"/>
          </w:tcPr>
          <w:p>
            <w:pPr>
              <w:ind w:firstLine="0"/>
              <w:jc w:val="center"/>
              <w:rPr>
                <w:rFonts w:ascii="Times New Roman" w:eastAsia="仿宋_GB2312"/>
                <w:szCs w:val="32"/>
              </w:rPr>
            </w:pPr>
            <w:r>
              <w:rPr>
                <w:rFonts w:ascii="Times New Roman" w:eastAsia="仿宋_GB2312"/>
                <w:sz w:val="28"/>
                <w:szCs w:val="28"/>
              </w:rPr>
              <w:t>出险时年龄</w:t>
            </w:r>
          </w:p>
        </w:tc>
        <w:tc>
          <w:tcPr>
            <w:tcW w:w="2265" w:type="dxa"/>
            <w:vAlign w:val="center"/>
          </w:tcPr>
          <w:p>
            <w:pPr>
              <w:ind w:firstLine="0"/>
              <w:jc w:val="center"/>
              <w:rPr>
                <w:rFonts w:ascii="Times New Roman" w:eastAsia="仿宋_GB2312"/>
                <w:szCs w:val="32"/>
              </w:rPr>
            </w:pPr>
            <w:r>
              <w:rPr>
                <w:rFonts w:ascii="Times New Roman" w:eastAsia="仿宋_GB2312"/>
                <w:sz w:val="28"/>
                <w:szCs w:val="28"/>
              </w:rPr>
              <w:t>0-60周岁（含）</w:t>
            </w:r>
          </w:p>
        </w:tc>
        <w:tc>
          <w:tcPr>
            <w:tcW w:w="2265" w:type="dxa"/>
            <w:vAlign w:val="center"/>
          </w:tcPr>
          <w:p>
            <w:pPr>
              <w:ind w:firstLine="0"/>
              <w:jc w:val="center"/>
              <w:rPr>
                <w:rFonts w:ascii="Times New Roman" w:eastAsia="仿宋_GB2312"/>
                <w:szCs w:val="32"/>
              </w:rPr>
            </w:pPr>
            <w:r>
              <w:rPr>
                <w:rFonts w:ascii="Times New Roman" w:eastAsia="仿宋_GB2312"/>
                <w:szCs w:val="32"/>
              </w:rPr>
              <w:t>60-75周岁</w:t>
            </w:r>
          </w:p>
          <w:p>
            <w:pPr>
              <w:ind w:firstLine="0"/>
              <w:jc w:val="center"/>
              <w:rPr>
                <w:rFonts w:ascii="Times New Roman" w:eastAsia="仿宋_GB2312"/>
                <w:szCs w:val="32"/>
              </w:rPr>
            </w:pPr>
            <w:r>
              <w:rPr>
                <w:rFonts w:ascii="Times New Roman" w:eastAsia="仿宋_GB2312"/>
                <w:szCs w:val="32"/>
              </w:rPr>
              <w:t>（不含）</w:t>
            </w:r>
          </w:p>
        </w:tc>
        <w:tc>
          <w:tcPr>
            <w:tcW w:w="2265" w:type="dxa"/>
            <w:vAlign w:val="center"/>
          </w:tcPr>
          <w:p>
            <w:pPr>
              <w:ind w:firstLine="0"/>
              <w:jc w:val="center"/>
              <w:rPr>
                <w:rFonts w:ascii="Times New Roman" w:eastAsia="仿宋_GB2312"/>
                <w:szCs w:val="32"/>
              </w:rPr>
            </w:pPr>
            <w:r>
              <w:rPr>
                <w:rFonts w:ascii="Times New Roman" w:eastAsia="仿宋_GB2312"/>
                <w:szCs w:val="32"/>
              </w:rPr>
              <w:t>75周岁（含）以上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ind w:firstLine="0"/>
              <w:jc w:val="center"/>
              <w:rPr>
                <w:rFonts w:ascii="Times New Roman" w:eastAsia="仿宋_GB2312"/>
                <w:sz w:val="28"/>
                <w:szCs w:val="28"/>
              </w:rPr>
            </w:pPr>
            <w:r>
              <w:rPr>
                <w:rFonts w:ascii="Times New Roman" w:eastAsia="仿宋_GB2312"/>
                <w:sz w:val="28"/>
                <w:szCs w:val="28"/>
              </w:rPr>
              <w:t>死亡、伤残</w:t>
            </w:r>
          </w:p>
          <w:p>
            <w:pPr>
              <w:ind w:firstLine="0"/>
              <w:jc w:val="center"/>
              <w:rPr>
                <w:rFonts w:ascii="Times New Roman" w:eastAsia="仿宋_GB2312"/>
                <w:szCs w:val="32"/>
              </w:rPr>
            </w:pPr>
            <w:r>
              <w:rPr>
                <w:rFonts w:ascii="Times New Roman" w:eastAsia="仿宋_GB2312"/>
                <w:sz w:val="28"/>
                <w:szCs w:val="28"/>
              </w:rPr>
              <w:t>赔偿限额</w:t>
            </w:r>
          </w:p>
        </w:tc>
        <w:tc>
          <w:tcPr>
            <w:tcW w:w="2265" w:type="dxa"/>
            <w:vAlign w:val="center"/>
          </w:tcPr>
          <w:p>
            <w:pPr>
              <w:ind w:firstLine="0"/>
              <w:jc w:val="center"/>
              <w:rPr>
                <w:rFonts w:ascii="Times New Roman" w:eastAsia="仿宋_GB2312"/>
                <w:szCs w:val="32"/>
              </w:rPr>
            </w:pPr>
            <w:r>
              <w:rPr>
                <w:rFonts w:ascii="Times New Roman" w:eastAsia="仿宋_GB2312"/>
                <w:sz w:val="28"/>
                <w:szCs w:val="28"/>
              </w:rPr>
              <w:t>6万</w:t>
            </w:r>
          </w:p>
        </w:tc>
        <w:tc>
          <w:tcPr>
            <w:tcW w:w="2265" w:type="dxa"/>
            <w:vAlign w:val="center"/>
          </w:tcPr>
          <w:p>
            <w:pPr>
              <w:ind w:firstLine="0"/>
              <w:jc w:val="center"/>
              <w:rPr>
                <w:rFonts w:ascii="Times New Roman" w:eastAsia="仿宋_GB2312"/>
                <w:szCs w:val="32"/>
              </w:rPr>
            </w:pPr>
            <w:r>
              <w:rPr>
                <w:rFonts w:ascii="Times New Roman" w:eastAsia="仿宋_GB2312"/>
                <w:sz w:val="28"/>
                <w:szCs w:val="28"/>
              </w:rPr>
              <w:t>每增加1岁，赔付金额减少3000元</w:t>
            </w:r>
          </w:p>
        </w:tc>
        <w:tc>
          <w:tcPr>
            <w:tcW w:w="2265" w:type="dxa"/>
            <w:vAlign w:val="center"/>
          </w:tcPr>
          <w:p>
            <w:pPr>
              <w:ind w:firstLine="0"/>
              <w:jc w:val="center"/>
              <w:rPr>
                <w:rFonts w:ascii="Times New Roman" w:eastAsia="仿宋_GB2312"/>
                <w:szCs w:val="32"/>
              </w:rPr>
            </w:pPr>
            <w:r>
              <w:rPr>
                <w:rFonts w:ascii="Times New Roman" w:eastAsia="仿宋_GB2312"/>
                <w:sz w:val="28"/>
                <w:szCs w:val="28"/>
              </w:rPr>
              <w:t>最高赔付限额为15000元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ind w:firstLine="0"/>
              <w:jc w:val="center"/>
              <w:rPr>
                <w:rFonts w:ascii="Times New Roman" w:eastAsia="仿宋_GB2312"/>
                <w:szCs w:val="32"/>
              </w:rPr>
            </w:pPr>
            <w:r>
              <w:rPr>
                <w:rFonts w:ascii="Times New Roman" w:eastAsia="仿宋_GB2312"/>
                <w:sz w:val="28"/>
                <w:szCs w:val="28"/>
              </w:rPr>
              <w:t>特别约定</w:t>
            </w:r>
          </w:p>
        </w:tc>
        <w:tc>
          <w:tcPr>
            <w:tcW w:w="6795" w:type="dxa"/>
            <w:gridSpan w:val="3"/>
            <w:vAlign w:val="center"/>
          </w:tcPr>
          <w:p>
            <w:pPr>
              <w:ind w:firstLine="0"/>
              <w:jc w:val="center"/>
              <w:rPr>
                <w:rFonts w:ascii="Times New Roman" w:eastAsia="仿宋_GB2312"/>
                <w:szCs w:val="32"/>
              </w:rPr>
            </w:pPr>
            <w:r>
              <w:rPr>
                <w:rFonts w:ascii="Times New Roman" w:eastAsia="仿宋_GB2312"/>
                <w:sz w:val="28"/>
                <w:szCs w:val="28"/>
              </w:rPr>
              <w:t>因抢险救灾或见义勇为过程中发生人身意外伤害的，其死亡、伤残赔偿限额不受年龄限制。</w:t>
            </w:r>
          </w:p>
        </w:tc>
      </w:tr>
    </w:tbl>
    <w:p>
      <w:pPr>
        <w:ind w:firstLine="0"/>
        <w:rPr>
          <w:rFonts w:ascii="Times New Roman" w:eastAsia="黑体"/>
          <w:szCs w:val="32"/>
        </w:rPr>
      </w:pPr>
      <w:r>
        <w:rPr>
          <w:rFonts w:ascii="Times New Roman" w:eastAsia="仿宋_GB2312"/>
          <w:szCs w:val="32"/>
        </w:rPr>
        <w:br w:type="page"/>
      </w:r>
      <w:r>
        <w:rPr>
          <w:rFonts w:ascii="Times New Roman" w:eastAsia="黑体"/>
          <w:szCs w:val="32"/>
        </w:rPr>
        <w:t>附件4</w:t>
      </w:r>
    </w:p>
    <w:p>
      <w:pPr>
        <w:ind w:firstLine="0"/>
        <w:jc w:val="center"/>
        <w:rPr>
          <w:rFonts w:ascii="Times New Roman" w:eastAsia="方正大标宋简体"/>
          <w:sz w:val="40"/>
          <w:szCs w:val="40"/>
        </w:rPr>
      </w:pPr>
      <w:r>
        <w:rPr>
          <w:rFonts w:ascii="Times New Roman" w:eastAsia="方正大标宋简体"/>
          <w:sz w:val="40"/>
          <w:szCs w:val="40"/>
        </w:rPr>
        <w:t>理赔流程</w:t>
      </w:r>
    </w:p>
    <w:p>
      <w:pPr>
        <w:ind w:firstLine="0"/>
        <w:jc w:val="center"/>
        <w:rPr>
          <w:rFonts w:ascii="Times New Roman" w:eastAsia="黑体"/>
          <w:szCs w:val="32"/>
        </w:rPr>
      </w:pPr>
      <w:r>
        <w:rPr>
          <w:rFonts w:ascii="Times New Roman" w:eastAsia="仿宋_GB2312"/>
          <w:b/>
          <w:sz w:val="30"/>
          <w:szCs w:val="30"/>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278130</wp:posOffset>
                </wp:positionV>
                <wp:extent cx="1600200" cy="690880"/>
                <wp:effectExtent l="4445" t="5080" r="14605" b="8890"/>
                <wp:wrapNone/>
                <wp:docPr id="2" name="右箭头标注 2"/>
                <wp:cNvGraphicFramePr/>
                <a:graphic xmlns:a="http://schemas.openxmlformats.org/drawingml/2006/main">
                  <a:graphicData uri="http://schemas.microsoft.com/office/word/2010/wordprocessingShape">
                    <wps:wsp>
                      <wps:cNvSpPr/>
                      <wps:spPr>
                        <a:xfrm>
                          <a:off x="0" y="0"/>
                          <a:ext cx="1600200" cy="690880"/>
                        </a:xfrm>
                        <a:prstGeom prst="rightArrowCallout">
                          <a:avLst>
                            <a:gd name="adj1" fmla="val 25000"/>
                            <a:gd name="adj2" fmla="val 25000"/>
                            <a:gd name="adj3" fmla="val 38602"/>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 w:val="21"/>
                                <w:szCs w:val="21"/>
                              </w:rPr>
                            </w:pPr>
                            <w:r>
                              <w:rPr>
                                <w:rFonts w:hint="eastAsia" w:eastAsia="仿宋_GB2312"/>
                                <w:sz w:val="21"/>
                                <w:szCs w:val="21"/>
                              </w:rPr>
                              <w:t>通知户籍所村（居）民委员会、镇（区）应急管理部门</w:t>
                            </w:r>
                          </w:p>
                        </w:txbxContent>
                      </wps:txbx>
                      <wps:bodyPr upright="1"/>
                    </wps:wsp>
                  </a:graphicData>
                </a:graphic>
              </wp:anchor>
            </w:drawing>
          </mc:Choice>
          <mc:Fallback>
            <w:pict>
              <v:shape id="_x0000_s1026" o:spid="_x0000_s1026" o:spt="78" type="#_x0000_t78" style="position:absolute;left:0pt;margin-left:99pt;margin-top:21.9pt;height:54.4pt;width:126pt;z-index:251661312;mso-width-relative:page;mso-height-relative:page;" coordsize="21600,21600" o:gfxdata="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PRVO51wAAAAoBAAAPAAAA&#10;AAAAAAEAIAAAACIAAABkcnMvZG93bnJldi54bWxQSwECFAAUAAAACACHTuJABDFRLk8CAADYBAAA&#10;DgAAAAAAAAABACAAAAAmAQAAZHJzL2Uyb0RvYy54bWxQSwUGAAAAAAYABgBZAQAA5wUAAAAA&#10;">
                <v:path/>
                <v:fill focussize="0,0"/>
                <v:stroke joinstyle="miter"/>
                <v:imagedata o:title=""/>
                <o:lock v:ext="edit"/>
                <v:textbox>
                  <w:txbxContent>
                    <w:p>
                      <w:pPr>
                        <w:spacing w:line="240" w:lineRule="exact"/>
                        <w:ind w:firstLine="0"/>
                        <w:rPr>
                          <w:rFonts w:eastAsia="仿宋_GB2312"/>
                          <w:sz w:val="21"/>
                          <w:szCs w:val="21"/>
                        </w:rPr>
                      </w:pPr>
                      <w:r>
                        <w:rPr>
                          <w:rFonts w:hint="eastAsia" w:eastAsia="仿宋_GB2312"/>
                          <w:sz w:val="21"/>
                          <w:szCs w:val="21"/>
                        </w:rPr>
                        <w:t>通知户籍所村（居）民委员会、镇（区）应急管理部门</w:t>
                      </w:r>
                    </w:p>
                  </w:txbxContent>
                </v:textbox>
              </v:shape>
            </w:pict>
          </mc:Fallback>
        </mc:AlternateContent>
      </w:r>
      <w:r>
        <w:rPr>
          <w:rFonts w:ascii="Times New Roman" w:eastAsia="仿宋_GB2312"/>
          <w:b/>
          <w:sz w:val="30"/>
          <w:szCs w:val="3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278130</wp:posOffset>
                </wp:positionV>
                <wp:extent cx="1600200" cy="690880"/>
                <wp:effectExtent l="4445" t="5080" r="14605" b="8890"/>
                <wp:wrapNone/>
                <wp:docPr id="9" name="右箭头标注 9"/>
                <wp:cNvGraphicFramePr/>
                <a:graphic xmlns:a="http://schemas.openxmlformats.org/drawingml/2006/main">
                  <a:graphicData uri="http://schemas.microsoft.com/office/word/2010/wordprocessingShape">
                    <wps:wsp>
                      <wps:cNvSpPr/>
                      <wps:spPr>
                        <a:xfrm>
                          <a:off x="0" y="0"/>
                          <a:ext cx="1600200" cy="690880"/>
                        </a:xfrm>
                        <a:prstGeom prst="rightArrowCallout">
                          <a:avLst>
                            <a:gd name="adj1" fmla="val 25000"/>
                            <a:gd name="adj2" fmla="val 25000"/>
                            <a:gd name="adj3" fmla="val 38602"/>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Cs w:val="21"/>
                              </w:rPr>
                            </w:pPr>
                            <w:r>
                              <w:rPr>
                                <w:rFonts w:hint="eastAsia" w:ascii="Times New Roman" w:eastAsia="仿宋_GB2312"/>
                                <w:snapToGrid/>
                                <w:kern w:val="2"/>
                                <w:sz w:val="21"/>
                                <w:szCs w:val="21"/>
                              </w:rPr>
                              <w:t>发</w:t>
                            </w:r>
                            <w:r>
                              <w:rPr>
                                <w:rFonts w:hint="eastAsia" w:eastAsia="仿宋_GB2312"/>
                                <w:sz w:val="21"/>
                                <w:szCs w:val="21"/>
                              </w:rPr>
                              <w:t>生保险责任事故</w:t>
                            </w:r>
                          </w:p>
                        </w:txbxContent>
                      </wps:txbx>
                      <wps:bodyPr upright="1"/>
                    </wps:wsp>
                  </a:graphicData>
                </a:graphic>
              </wp:anchor>
            </w:drawing>
          </mc:Choice>
          <mc:Fallback>
            <w:pict>
              <v:shape id="_x0000_s1026" o:spid="_x0000_s1026" o:spt="78" type="#_x0000_t78" style="position:absolute;left:0pt;margin-left:-27pt;margin-top:21.9pt;height:54.4pt;width:126pt;z-index:251660288;mso-width-relative:page;mso-height-relative:page;" coordsize="21600,21600" o:gfxdata="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ij4Gp2AAAAAoBAAAPAAAAAAAA&#10;AAEAIAAAACIAAABkcnMvZG93bnJldi54bWxQSwECFAAUAAAACACHTuJAaFoknksCAADYBAAADgAA&#10;AAAAAAABACAAAAAnAQAAZHJzL2Uyb0RvYy54bWxQSwUGAAAAAAYABgBZAQAA5AUAAAAA&#10;">
                <v:path/>
                <v:fill focussize="0,0"/>
                <v:stroke joinstyle="miter"/>
                <v:imagedata o:title=""/>
                <o:lock v:ext="edit"/>
                <v:textbox>
                  <w:txbxContent>
                    <w:p>
                      <w:pPr>
                        <w:spacing w:line="240" w:lineRule="exact"/>
                        <w:ind w:firstLine="0"/>
                        <w:rPr>
                          <w:rFonts w:eastAsia="仿宋_GB2312"/>
                          <w:szCs w:val="21"/>
                        </w:rPr>
                      </w:pPr>
                      <w:r>
                        <w:rPr>
                          <w:rFonts w:hint="eastAsia" w:ascii="Times New Roman" w:eastAsia="仿宋_GB2312"/>
                          <w:snapToGrid/>
                          <w:kern w:val="2"/>
                          <w:sz w:val="21"/>
                          <w:szCs w:val="21"/>
                        </w:rPr>
                        <w:t>发</w:t>
                      </w:r>
                      <w:r>
                        <w:rPr>
                          <w:rFonts w:hint="eastAsia" w:eastAsia="仿宋_GB2312"/>
                          <w:sz w:val="21"/>
                          <w:szCs w:val="21"/>
                        </w:rPr>
                        <w:t>生保险责任事故</w:t>
                      </w:r>
                    </w:p>
                  </w:txbxContent>
                </v:textbox>
              </v:shape>
            </w:pict>
          </mc:Fallback>
        </mc:AlternateContent>
      </w:r>
      <w:r>
        <w:rPr>
          <w:rFonts w:ascii="Times New Roman" w:eastAsia="仿宋_GB2312"/>
          <w:b/>
          <w:sz w:val="30"/>
          <w:szCs w:val="30"/>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278130</wp:posOffset>
                </wp:positionV>
                <wp:extent cx="1371600" cy="690880"/>
                <wp:effectExtent l="4445" t="4445" r="14605" b="9525"/>
                <wp:wrapNone/>
                <wp:docPr id="6" name="右箭头标注 6"/>
                <wp:cNvGraphicFramePr/>
                <a:graphic xmlns:a="http://schemas.openxmlformats.org/drawingml/2006/main">
                  <a:graphicData uri="http://schemas.microsoft.com/office/word/2010/wordprocessingShape">
                    <wps:wsp>
                      <wps:cNvSpPr/>
                      <wps:spPr>
                        <a:xfrm>
                          <a:off x="0" y="0"/>
                          <a:ext cx="1371600" cy="690880"/>
                        </a:xfrm>
                        <a:prstGeom prst="rightArrowCallout">
                          <a:avLst>
                            <a:gd name="adj1" fmla="val 25000"/>
                            <a:gd name="adj2" fmla="val 25000"/>
                            <a:gd name="adj3" fmla="val 33088"/>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 w:val="21"/>
                                <w:szCs w:val="21"/>
                              </w:rPr>
                            </w:pPr>
                            <w:r>
                              <w:rPr>
                                <w:rFonts w:hint="eastAsia" w:eastAsia="仿宋_GB2312"/>
                                <w:sz w:val="21"/>
                                <w:szCs w:val="21"/>
                              </w:rPr>
                              <w:t>通知保险公司</w:t>
                            </w:r>
                          </w:p>
                        </w:txbxContent>
                      </wps:txbx>
                      <wps:bodyPr upright="1"/>
                    </wps:wsp>
                  </a:graphicData>
                </a:graphic>
              </wp:anchor>
            </w:drawing>
          </mc:Choice>
          <mc:Fallback>
            <w:pict>
              <v:shape id="_x0000_s1026" o:spid="_x0000_s1026" o:spt="78" type="#_x0000_t78" style="position:absolute;left:0pt;margin-left:225pt;margin-top:21.9pt;height:54.4pt;width:108pt;z-index:251662336;mso-width-relative:page;mso-height-relative:page;" coordsize="21600,21600" o:gfxdata="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ZI7cdYAAAAKAQAADwAAAAAAAAAB&#10;ACAAAAAiAAAAZHJzL2Rvd25yZXYueG1sUEsBAhQAFAAAAAgAh07iQCvmiKJLAgAA2AQAAA4AAAAA&#10;AAAAAQAgAAAAJQEAAGRycy9lMm9Eb2MueG1sUEsFBgAAAAAGAAYAWQEAAOIFAAAAAA==&#10;">
                <v:path/>
                <v:fill focussize="0,0"/>
                <v:stroke joinstyle="miter"/>
                <v:imagedata o:title=""/>
                <o:lock v:ext="edit"/>
                <v:textbox>
                  <w:txbxContent>
                    <w:p>
                      <w:pPr>
                        <w:spacing w:line="240" w:lineRule="exact"/>
                        <w:ind w:firstLine="0"/>
                        <w:rPr>
                          <w:rFonts w:eastAsia="仿宋_GB2312"/>
                          <w:sz w:val="21"/>
                          <w:szCs w:val="21"/>
                        </w:rPr>
                      </w:pPr>
                      <w:r>
                        <w:rPr>
                          <w:rFonts w:hint="eastAsia" w:eastAsia="仿宋_GB2312"/>
                          <w:sz w:val="21"/>
                          <w:szCs w:val="21"/>
                        </w:rPr>
                        <w:t>通知保险公司</w:t>
                      </w:r>
                    </w:p>
                  </w:txbxContent>
                </v:textbox>
              </v:shape>
            </w:pict>
          </mc:Fallback>
        </mc:AlternateContent>
      </w:r>
      <w:r>
        <w:rPr>
          <w:rFonts w:ascii="Times New Roman" w:eastAsia="仿宋_GB2312"/>
          <w:b/>
          <w:sz w:val="30"/>
          <w:szCs w:val="30"/>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278130</wp:posOffset>
                </wp:positionV>
                <wp:extent cx="1485900" cy="690880"/>
                <wp:effectExtent l="4445" t="4445" r="14605" b="9525"/>
                <wp:wrapNone/>
                <wp:docPr id="5" name="右箭头标注 5"/>
                <wp:cNvGraphicFramePr/>
                <a:graphic xmlns:a="http://schemas.openxmlformats.org/drawingml/2006/main">
                  <a:graphicData uri="http://schemas.microsoft.com/office/word/2010/wordprocessingShape">
                    <wps:wsp>
                      <wps:cNvSpPr/>
                      <wps:spPr>
                        <a:xfrm>
                          <a:off x="0" y="0"/>
                          <a:ext cx="1485900" cy="690880"/>
                        </a:xfrm>
                        <a:prstGeom prst="rightArrowCallout">
                          <a:avLst>
                            <a:gd name="adj1" fmla="val 25000"/>
                            <a:gd name="adj2" fmla="val 25000"/>
                            <a:gd name="adj3" fmla="val 3584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 w:val="21"/>
                                <w:szCs w:val="21"/>
                              </w:rPr>
                            </w:pPr>
                            <w:r>
                              <w:rPr>
                                <w:rFonts w:hint="eastAsia" w:eastAsia="仿宋_GB2312"/>
                                <w:sz w:val="21"/>
                                <w:szCs w:val="21"/>
                              </w:rPr>
                              <w:t>共同现场查勘、定损</w:t>
                            </w:r>
                          </w:p>
                        </w:txbxContent>
                      </wps:txbx>
                      <wps:bodyPr upright="1"/>
                    </wps:wsp>
                  </a:graphicData>
                </a:graphic>
              </wp:anchor>
            </w:drawing>
          </mc:Choice>
          <mc:Fallback>
            <w:pict>
              <v:shape id="_x0000_s1026" o:spid="_x0000_s1026" o:spt="78" type="#_x0000_t78" style="position:absolute;left:0pt;margin-left:333pt;margin-top:21.9pt;height:54.4pt;width:117pt;z-index:251663360;mso-width-relative:page;mso-height-relative:page;" coordsize="21600,21600" o:gfxdata="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PT7wt1wAAAAoBAAAPAAAA&#10;AAAAAAEAIAAAACIAAABkcnMvZG93bnJldi54bWxQSwECFAAUAAAACACHTuJAdzHqrU8CAADYBAAA&#10;DgAAAAAAAAABACAAAAAmAQAAZHJzL2Uyb0RvYy54bWxQSwUGAAAAAAYABgBZAQAA5wUAAAAA&#10;">
                <v:path/>
                <v:fill focussize="0,0"/>
                <v:stroke joinstyle="miter"/>
                <v:imagedata o:title=""/>
                <o:lock v:ext="edit"/>
                <v:textbox>
                  <w:txbxContent>
                    <w:p>
                      <w:pPr>
                        <w:spacing w:line="240" w:lineRule="exact"/>
                        <w:ind w:firstLine="0"/>
                        <w:rPr>
                          <w:rFonts w:eastAsia="仿宋_GB2312"/>
                          <w:sz w:val="21"/>
                          <w:szCs w:val="21"/>
                        </w:rPr>
                      </w:pPr>
                      <w:r>
                        <w:rPr>
                          <w:rFonts w:hint="eastAsia" w:eastAsia="仿宋_GB2312"/>
                          <w:sz w:val="21"/>
                          <w:szCs w:val="21"/>
                        </w:rPr>
                        <w:t>共同现场查勘、定损</w:t>
                      </w:r>
                    </w:p>
                  </w:txbxContent>
                </v:textbox>
              </v:shape>
            </w:pict>
          </mc:Fallback>
        </mc:AlternateContent>
      </w:r>
    </w:p>
    <w:p>
      <w:pPr>
        <w:rPr>
          <w:rFonts w:ascii="Times New Roman" w:eastAsia="仿宋_GB2312"/>
          <w:b/>
          <w:sz w:val="30"/>
          <w:szCs w:val="30"/>
        </w:rPr>
      </w:pPr>
    </w:p>
    <w:p>
      <w:pPr>
        <w:rPr>
          <w:rFonts w:ascii="Times New Roman" w:eastAsia="仿宋_GB2312"/>
          <w:b/>
          <w:sz w:val="30"/>
          <w:szCs w:val="30"/>
        </w:rPr>
      </w:pPr>
    </w:p>
    <w:p>
      <w:pPr>
        <w:rPr>
          <w:rFonts w:ascii="Times New Roman" w:eastAsia="仿宋_GB2312"/>
          <w:b/>
          <w:sz w:val="30"/>
          <w:szCs w:val="30"/>
        </w:rPr>
      </w:pPr>
      <w:r>
        <w:rPr>
          <w:rFonts w:ascii="Times New Roman" w:eastAsia="仿宋_GB2312"/>
          <w:b/>
          <w:sz w:val="30"/>
          <w:szCs w:val="30"/>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45720</wp:posOffset>
                </wp:positionV>
                <wp:extent cx="2286000" cy="891540"/>
                <wp:effectExtent l="4445" t="4445" r="14605" b="18415"/>
                <wp:wrapNone/>
                <wp:docPr id="4" name="右箭头标注 4"/>
                <wp:cNvGraphicFramePr/>
                <a:graphic xmlns:a="http://schemas.openxmlformats.org/drawingml/2006/main">
                  <a:graphicData uri="http://schemas.microsoft.com/office/word/2010/wordprocessingShape">
                    <wps:wsp>
                      <wps:cNvSpPr/>
                      <wps:spPr>
                        <a:xfrm>
                          <a:off x="0" y="0"/>
                          <a:ext cx="2286000" cy="891540"/>
                        </a:xfrm>
                        <a:prstGeom prst="rightArrowCallout">
                          <a:avLst>
                            <a:gd name="adj1" fmla="val 25000"/>
                            <a:gd name="adj2" fmla="val 25000"/>
                            <a:gd name="adj3" fmla="val 4273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 w:val="21"/>
                                <w:szCs w:val="21"/>
                              </w:rPr>
                            </w:pPr>
                            <w:r>
                              <w:rPr>
                                <w:rFonts w:hint="eastAsia" w:ascii="仿宋_GB2312" w:eastAsia="仿宋_GB2312"/>
                                <w:sz w:val="21"/>
                                <w:szCs w:val="21"/>
                              </w:rPr>
                              <w:t>市</w:t>
                            </w:r>
                            <w:r>
                              <w:rPr>
                                <w:rFonts w:hint="eastAsia" w:eastAsia="仿宋_GB2312"/>
                                <w:sz w:val="21"/>
                                <w:szCs w:val="21"/>
                              </w:rPr>
                              <w:t>应急管理局对</w:t>
                            </w:r>
                            <w:r>
                              <w:rPr>
                                <w:rFonts w:hint="eastAsia" w:ascii="仿宋_GB2312" w:eastAsia="仿宋_GB2312"/>
                                <w:sz w:val="21"/>
                                <w:szCs w:val="21"/>
                              </w:rPr>
                              <w:t>理算结果进行复核、确认（</w:t>
                            </w:r>
                            <w:r>
                              <w:rPr>
                                <w:rFonts w:hint="eastAsia" w:ascii="仿宋_GB2312" w:hAnsi="宋体" w:eastAsia="仿宋_GB2312"/>
                                <w:sz w:val="21"/>
                                <w:szCs w:val="21"/>
                              </w:rPr>
                              <w:t>保险公司每月</w:t>
                            </w:r>
                            <w:r>
                              <w:rPr>
                                <w:rFonts w:hint="eastAsia" w:eastAsia="仿宋_GB2312"/>
                                <w:sz w:val="21"/>
                                <w:szCs w:val="21"/>
                              </w:rPr>
                              <w:t>需制作一份赔款清单报市应急管理局备案）</w:t>
                            </w:r>
                          </w:p>
                        </w:txbxContent>
                      </wps:txbx>
                      <wps:bodyPr upright="1"/>
                    </wps:wsp>
                  </a:graphicData>
                </a:graphic>
              </wp:anchor>
            </w:drawing>
          </mc:Choice>
          <mc:Fallback>
            <w:pict>
              <v:shape id="_x0000_s1026" o:spid="_x0000_s1026" o:spt="78" type="#_x0000_t78" style="position:absolute;left:0pt;margin-left:297pt;margin-top:3.6pt;height:70.2pt;width:180pt;z-index:251665408;mso-width-relative:page;mso-height-relative:page;" coordsize="21600,21600" o:gfxdata="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gUzmh1gAAAAkBAAAPAAAAAAAA&#10;AAEAIAAAACIAAABkcnMvZG93bnJldi54bWxQSwECFAAUAAAACACHTuJA5xSdqU0CAADYBAAADgAA&#10;AAAAAAABACAAAAAlAQAAZHJzL2Uyb0RvYy54bWxQSwUGAAAAAAYABgBZAQAA5AUAAAAA&#10;">
                <v:path/>
                <v:fill focussize="0,0"/>
                <v:stroke joinstyle="miter"/>
                <v:imagedata o:title=""/>
                <o:lock v:ext="edit"/>
                <v:textbox>
                  <w:txbxContent>
                    <w:p>
                      <w:pPr>
                        <w:spacing w:line="240" w:lineRule="exact"/>
                        <w:ind w:firstLine="0"/>
                        <w:rPr>
                          <w:rFonts w:eastAsia="仿宋_GB2312"/>
                          <w:sz w:val="21"/>
                          <w:szCs w:val="21"/>
                        </w:rPr>
                      </w:pPr>
                      <w:r>
                        <w:rPr>
                          <w:rFonts w:hint="eastAsia" w:ascii="仿宋_GB2312" w:eastAsia="仿宋_GB2312"/>
                          <w:sz w:val="21"/>
                          <w:szCs w:val="21"/>
                        </w:rPr>
                        <w:t>市</w:t>
                      </w:r>
                      <w:r>
                        <w:rPr>
                          <w:rFonts w:hint="eastAsia" w:eastAsia="仿宋_GB2312"/>
                          <w:sz w:val="21"/>
                          <w:szCs w:val="21"/>
                        </w:rPr>
                        <w:t>应急管理局对</w:t>
                      </w:r>
                      <w:r>
                        <w:rPr>
                          <w:rFonts w:hint="eastAsia" w:ascii="仿宋_GB2312" w:eastAsia="仿宋_GB2312"/>
                          <w:sz w:val="21"/>
                          <w:szCs w:val="21"/>
                        </w:rPr>
                        <w:t>理算结果进行复核、确认（</w:t>
                      </w:r>
                      <w:r>
                        <w:rPr>
                          <w:rFonts w:hint="eastAsia" w:ascii="仿宋_GB2312" w:hAnsi="宋体" w:eastAsia="仿宋_GB2312"/>
                          <w:sz w:val="21"/>
                          <w:szCs w:val="21"/>
                        </w:rPr>
                        <w:t>保险公司每月</w:t>
                      </w:r>
                      <w:r>
                        <w:rPr>
                          <w:rFonts w:hint="eastAsia" w:eastAsia="仿宋_GB2312"/>
                          <w:sz w:val="21"/>
                          <w:szCs w:val="21"/>
                        </w:rPr>
                        <w:t>需制作一份赔款清单报市应急管理局备案）</w:t>
                      </w:r>
                    </w:p>
                  </w:txbxContent>
                </v:textbox>
              </v:shape>
            </w:pict>
          </mc:Fallback>
        </mc:AlternateContent>
      </w:r>
      <w:r>
        <w:rPr>
          <w:rFonts w:ascii="Times New Roman" w:eastAsia="仿宋_GB2312"/>
          <w:b/>
          <w:sz w:val="30"/>
          <w:szCs w:val="30"/>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45720</wp:posOffset>
                </wp:positionV>
                <wp:extent cx="2286000" cy="891540"/>
                <wp:effectExtent l="4445" t="4445" r="14605" b="18415"/>
                <wp:wrapNone/>
                <wp:docPr id="3" name="右箭头标注 3"/>
                <wp:cNvGraphicFramePr/>
                <a:graphic xmlns:a="http://schemas.openxmlformats.org/drawingml/2006/main">
                  <a:graphicData uri="http://schemas.microsoft.com/office/word/2010/wordprocessingShape">
                    <wps:wsp>
                      <wps:cNvSpPr/>
                      <wps:spPr>
                        <a:xfrm>
                          <a:off x="0" y="0"/>
                          <a:ext cx="2286000" cy="891540"/>
                        </a:xfrm>
                        <a:prstGeom prst="rightArrowCallout">
                          <a:avLst>
                            <a:gd name="adj1" fmla="val 25000"/>
                            <a:gd name="adj2" fmla="val 25000"/>
                            <a:gd name="adj3" fmla="val 4273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 w:val="21"/>
                                <w:szCs w:val="21"/>
                              </w:rPr>
                            </w:pPr>
                            <w:r>
                              <w:rPr>
                                <w:rFonts w:hint="eastAsia" w:eastAsia="仿宋_GB2312"/>
                                <w:sz w:val="21"/>
                                <w:szCs w:val="21"/>
                              </w:rPr>
                              <w:t>保险公司对各种材料进行审核理算后交市应急管理局确认</w:t>
                            </w:r>
                          </w:p>
                        </w:txbxContent>
                      </wps:txbx>
                      <wps:bodyPr upright="1"/>
                    </wps:wsp>
                  </a:graphicData>
                </a:graphic>
              </wp:anchor>
            </w:drawing>
          </mc:Choice>
          <mc:Fallback>
            <w:pict>
              <v:shape id="_x0000_s1026" o:spid="_x0000_s1026" o:spt="78" type="#_x0000_t78" style="position:absolute;left:0pt;margin-left:117pt;margin-top:3.6pt;height:70.2pt;width:180pt;z-index:251666432;mso-width-relative:page;mso-height-relative:page;" coordsize="21600,21600" o:gfxdata="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v1T1bWAAAACQEAAA8AAAAAAAAA&#10;AQAgAAAAIgAAAGRycy9kb3ducmV2LnhtbFBLAQIUABQAAAAIAIdO4kBJg5J/TAIAANgEAAAOAAAA&#10;AAAAAAEAIAAAACUBAABkcnMvZTJvRG9jLnhtbFBLBQYAAAAABgAGAFkBAADjBQAAAAA=&#10;">
                <v:path/>
                <v:fill focussize="0,0"/>
                <v:stroke joinstyle="miter"/>
                <v:imagedata o:title=""/>
                <o:lock v:ext="edit"/>
                <v:textbox>
                  <w:txbxContent>
                    <w:p>
                      <w:pPr>
                        <w:spacing w:line="240" w:lineRule="exact"/>
                        <w:ind w:firstLine="0"/>
                        <w:rPr>
                          <w:rFonts w:eastAsia="仿宋_GB2312"/>
                          <w:sz w:val="21"/>
                          <w:szCs w:val="21"/>
                        </w:rPr>
                      </w:pPr>
                      <w:r>
                        <w:rPr>
                          <w:rFonts w:hint="eastAsia" w:eastAsia="仿宋_GB2312"/>
                          <w:sz w:val="21"/>
                          <w:szCs w:val="21"/>
                        </w:rPr>
                        <w:t>保险公司对各种材料进行审核理算后交市应急管理局确认</w:t>
                      </w:r>
                    </w:p>
                  </w:txbxContent>
                </v:textbox>
              </v:shape>
            </w:pict>
          </mc:Fallback>
        </mc:AlternateContent>
      </w:r>
      <w:r>
        <w:rPr>
          <w:rFonts w:ascii="Times New Roman" w:eastAsia="仿宋_GB2312"/>
          <w:b/>
          <w:sz w:val="30"/>
          <w:szCs w:val="30"/>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45720</wp:posOffset>
                </wp:positionV>
                <wp:extent cx="1828800" cy="891540"/>
                <wp:effectExtent l="5080" t="4445" r="13970" b="18415"/>
                <wp:wrapNone/>
                <wp:docPr id="7" name="右箭头标注 7"/>
                <wp:cNvGraphicFramePr/>
                <a:graphic xmlns:a="http://schemas.openxmlformats.org/drawingml/2006/main">
                  <a:graphicData uri="http://schemas.microsoft.com/office/word/2010/wordprocessingShape">
                    <wps:wsp>
                      <wps:cNvSpPr/>
                      <wps:spPr>
                        <a:xfrm>
                          <a:off x="0" y="0"/>
                          <a:ext cx="1828800" cy="891540"/>
                        </a:xfrm>
                        <a:prstGeom prst="rightArrowCallout">
                          <a:avLst>
                            <a:gd name="adj1" fmla="val 25000"/>
                            <a:gd name="adj2" fmla="val 25000"/>
                            <a:gd name="adj3" fmla="val 34188"/>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 w:val="21"/>
                                <w:szCs w:val="21"/>
                              </w:rPr>
                            </w:pPr>
                            <w:r>
                              <w:rPr>
                                <w:rFonts w:hint="eastAsia" w:eastAsia="仿宋_GB2312"/>
                                <w:sz w:val="21"/>
                                <w:szCs w:val="21"/>
                              </w:rPr>
                              <w:t>村（居）民委员会会协助保险公司收集理赔资料</w:t>
                            </w:r>
                          </w:p>
                        </w:txbxContent>
                      </wps:txbx>
                      <wps:bodyPr upright="1"/>
                    </wps:wsp>
                  </a:graphicData>
                </a:graphic>
              </wp:anchor>
            </w:drawing>
          </mc:Choice>
          <mc:Fallback>
            <w:pict>
              <v:shape id="_x0000_s1026" o:spid="_x0000_s1026" o:spt="78" type="#_x0000_t78" style="position:absolute;left:0pt;margin-left:-27pt;margin-top:3.6pt;height:70.2pt;width:144pt;z-index:251664384;mso-width-relative:page;mso-height-relative:page;" coordsize="21600,21600" o:gfxdata="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yCa/NYAAAAJAQAADwAAAAAAAAAB&#10;ACAAAAAiAAAAZHJzL2Rvd25yZXYueG1sUEsBAhQAFAAAAAgAh07iQD8827NLAgAA2AQAAA4AAAAA&#10;AAAAAQAgAAAAJQEAAGRycy9lMm9Eb2MueG1sUEsFBgAAAAAGAAYAWQEAAOIFAAAAAA==&#10;">
                <v:path/>
                <v:fill focussize="0,0"/>
                <v:stroke joinstyle="miter"/>
                <v:imagedata o:title=""/>
                <o:lock v:ext="edit"/>
                <v:textbox>
                  <w:txbxContent>
                    <w:p>
                      <w:pPr>
                        <w:spacing w:line="240" w:lineRule="exact"/>
                        <w:ind w:firstLine="0"/>
                        <w:rPr>
                          <w:rFonts w:eastAsia="仿宋_GB2312"/>
                          <w:sz w:val="21"/>
                          <w:szCs w:val="21"/>
                        </w:rPr>
                      </w:pPr>
                      <w:r>
                        <w:rPr>
                          <w:rFonts w:hint="eastAsia" w:eastAsia="仿宋_GB2312"/>
                          <w:sz w:val="21"/>
                          <w:szCs w:val="21"/>
                        </w:rPr>
                        <w:t>村（居）民委员会会协助保险公司收集理赔资料</w:t>
                      </w:r>
                    </w:p>
                  </w:txbxContent>
                </v:textbox>
              </v:shape>
            </w:pict>
          </mc:Fallback>
        </mc:AlternateContent>
      </w:r>
    </w:p>
    <w:p>
      <w:pPr>
        <w:rPr>
          <w:rFonts w:ascii="Times New Roman" w:eastAsia="仿宋_GB2312"/>
          <w:b/>
          <w:sz w:val="30"/>
          <w:szCs w:val="30"/>
        </w:rPr>
      </w:pPr>
    </w:p>
    <w:p>
      <w:pPr>
        <w:rPr>
          <w:rFonts w:ascii="Times New Roman" w:eastAsia="仿宋_GB2312"/>
          <w:b/>
          <w:sz w:val="30"/>
          <w:szCs w:val="30"/>
        </w:rPr>
      </w:pPr>
    </w:p>
    <w:p>
      <w:pPr>
        <w:spacing w:line="480" w:lineRule="exact"/>
        <w:rPr>
          <w:rFonts w:ascii="Times New Roman" w:eastAsia="仿宋_GB2312"/>
          <w:b/>
          <w:bCs/>
          <w:sz w:val="28"/>
          <w:szCs w:val="28"/>
        </w:rPr>
      </w:pPr>
      <w:r>
        <w:rPr>
          <w:rFonts w:ascii="Times New Roman" w:eastAsia="仿宋_GB2312"/>
          <w:b/>
          <w:sz w:val="30"/>
          <w:szCs w:val="30"/>
        </w:rPr>
        <mc:AlternateContent>
          <mc:Choice Requires="wps">
            <w:drawing>
              <wp:anchor distT="0" distB="0" distL="114300" distR="114300" simplePos="0" relativeHeight="251668480" behindDoc="0" locked="0" layoutInCell="1" allowOverlap="1">
                <wp:simplePos x="0" y="0"/>
                <wp:positionH relativeFrom="column">
                  <wp:posOffset>1609725</wp:posOffset>
                </wp:positionH>
                <wp:positionV relativeFrom="paragraph">
                  <wp:posOffset>11430</wp:posOffset>
                </wp:positionV>
                <wp:extent cx="1485900" cy="1089660"/>
                <wp:effectExtent l="12700" t="7620" r="25400" b="26670"/>
                <wp:wrapNone/>
                <wp:docPr id="8" name="十六角星 8"/>
                <wp:cNvGraphicFramePr/>
                <a:graphic xmlns:a="http://schemas.openxmlformats.org/drawingml/2006/main">
                  <a:graphicData uri="http://schemas.microsoft.com/office/word/2010/wordprocessingShape">
                    <wps:wsp>
                      <wps:cNvSpPr/>
                      <wps:spPr>
                        <a:xfrm>
                          <a:off x="0" y="0"/>
                          <a:ext cx="1485900" cy="1089660"/>
                        </a:xfrm>
                        <a:prstGeom prst="star16">
                          <a:avLst>
                            <a:gd name="adj" fmla="val 37500"/>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 w:val="21"/>
                                <w:szCs w:val="21"/>
                              </w:rPr>
                            </w:pPr>
                            <w:r>
                              <w:rPr>
                                <w:rFonts w:hint="eastAsia" w:eastAsia="仿宋_GB2312"/>
                                <w:sz w:val="21"/>
                                <w:szCs w:val="21"/>
                              </w:rPr>
                              <w:t>保险公司向出险人支付赔款</w:t>
                            </w:r>
                          </w:p>
                        </w:txbxContent>
                      </wps:txbx>
                      <wps:bodyPr upright="1"/>
                    </wps:wsp>
                  </a:graphicData>
                </a:graphic>
              </wp:anchor>
            </w:drawing>
          </mc:Choice>
          <mc:Fallback>
            <w:pict>
              <v:shape id="_x0000_s1026" o:spid="_x0000_s1026" o:spt="59" type="#_x0000_t59" style="position:absolute;left:0pt;margin-left:126.75pt;margin-top:0.9pt;height:85.8pt;width:117pt;z-index:251668480;mso-width-relative:page;mso-height-relative:page;" coordsize="21600,21600" o:gfxdata="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P8e9dgAAAAJAQAADwAAAAAAAAABACAAAAAiAAAAZHJzL2Rvd25yZXYueG1sUEsBAhQAFAAAAAgA&#10;h07iQKLRR0UlAgAAXgQAAA4AAAAAAAAAAQAgAAAAJwEAAGRycy9lMm9Eb2MueG1sUEsFBgAAAAAG&#10;AAYAWQEAAL4FAAAAAA==&#10;">
                <v:path/>
                <v:fill focussize="0,0"/>
                <v:stroke joinstyle="miter"/>
                <v:imagedata o:title=""/>
                <o:lock v:ext="edit"/>
                <v:textbox>
                  <w:txbxContent>
                    <w:p>
                      <w:pPr>
                        <w:spacing w:line="240" w:lineRule="exact"/>
                        <w:ind w:firstLine="0"/>
                        <w:rPr>
                          <w:rFonts w:eastAsia="仿宋_GB2312"/>
                          <w:sz w:val="21"/>
                          <w:szCs w:val="21"/>
                        </w:rPr>
                      </w:pPr>
                      <w:r>
                        <w:rPr>
                          <w:rFonts w:hint="eastAsia" w:eastAsia="仿宋_GB2312"/>
                          <w:sz w:val="21"/>
                          <w:szCs w:val="21"/>
                        </w:rPr>
                        <w:t>保险公司向出险人支付赔款</w:t>
                      </w:r>
                    </w:p>
                  </w:txbxContent>
                </v:textbox>
              </v:shape>
            </w:pict>
          </mc:Fallback>
        </mc:AlternateContent>
      </w:r>
      <w:r>
        <w:rPr>
          <w:rFonts w:ascii="Times New Roman" w:eastAsia="仿宋_GB2312"/>
          <w:b/>
          <w:sz w:val="30"/>
          <w:szCs w:val="30"/>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110490</wp:posOffset>
                </wp:positionV>
                <wp:extent cx="1943100" cy="891540"/>
                <wp:effectExtent l="4445" t="4445" r="14605" b="18415"/>
                <wp:wrapNone/>
                <wp:docPr id="1" name="右箭头标注 1"/>
                <wp:cNvGraphicFramePr/>
                <a:graphic xmlns:a="http://schemas.openxmlformats.org/drawingml/2006/main">
                  <a:graphicData uri="http://schemas.microsoft.com/office/word/2010/wordprocessingShape">
                    <wps:wsp>
                      <wps:cNvSpPr/>
                      <wps:spPr>
                        <a:xfrm>
                          <a:off x="0" y="0"/>
                          <a:ext cx="1943100" cy="891540"/>
                        </a:xfrm>
                        <a:prstGeom prst="rightArrowCallout">
                          <a:avLst>
                            <a:gd name="adj1" fmla="val 25000"/>
                            <a:gd name="adj2" fmla="val 25000"/>
                            <a:gd name="adj3" fmla="val 36324"/>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0"/>
                              <w:rPr>
                                <w:rFonts w:eastAsia="仿宋_GB2312"/>
                                <w:sz w:val="21"/>
                                <w:szCs w:val="21"/>
                              </w:rPr>
                            </w:pPr>
                            <w:r>
                              <w:rPr>
                                <w:rFonts w:hint="eastAsia" w:eastAsia="仿宋_GB2312"/>
                                <w:sz w:val="21"/>
                                <w:szCs w:val="21"/>
                              </w:rPr>
                              <w:t>市应急管理局将确认结果通知保险公司，同时向市财政局申请资金，按承担比例支付赔款给保险公司。</w:t>
                            </w:r>
                          </w:p>
                        </w:txbxContent>
                      </wps:txbx>
                      <wps:bodyPr upright="1"/>
                    </wps:wsp>
                  </a:graphicData>
                </a:graphic>
              </wp:anchor>
            </w:drawing>
          </mc:Choice>
          <mc:Fallback>
            <w:pict>
              <v:shape id="_x0000_s1026" o:spid="_x0000_s1026" o:spt="78" type="#_x0000_t78" style="position:absolute;left:0pt;margin-left:-27pt;margin-top:8.7pt;height:70.2pt;width:153pt;z-index:251667456;mso-width-relative:page;mso-height-relative:page;" coordsize="21600,21600" o:gfxdata="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Ww4eLXAAAACgEAAA8AAAAAAAAA&#10;AQAgAAAAIgAAAGRycy9kb3ducmV2LnhtbFBLAQIUABQAAAAIAIdO4kCUsZ9zSwIAANgEAAAOAAAA&#10;AAAAAAEAIAAAACYBAABkcnMvZTJvRG9jLnhtbFBLBQYAAAAABgAGAFkBAADjBQAAAAA=&#10;">
                <v:path/>
                <v:fill focussize="0,0"/>
                <v:stroke joinstyle="miter"/>
                <v:imagedata o:title=""/>
                <o:lock v:ext="edit"/>
                <v:textbox>
                  <w:txbxContent>
                    <w:p>
                      <w:pPr>
                        <w:spacing w:line="240" w:lineRule="exact"/>
                        <w:ind w:firstLine="0"/>
                        <w:rPr>
                          <w:rFonts w:eastAsia="仿宋_GB2312"/>
                          <w:sz w:val="21"/>
                          <w:szCs w:val="21"/>
                        </w:rPr>
                      </w:pPr>
                      <w:r>
                        <w:rPr>
                          <w:rFonts w:hint="eastAsia" w:eastAsia="仿宋_GB2312"/>
                          <w:sz w:val="21"/>
                          <w:szCs w:val="21"/>
                        </w:rPr>
                        <w:t>市应急管理局将确认结果通知保险公司，同时向市财政局申请资金，按承担比例支付赔款给保险公司。</w:t>
                      </w:r>
                    </w:p>
                  </w:txbxContent>
                </v:textbox>
              </v:shape>
            </w:pict>
          </mc:Fallback>
        </mc:AlternateContent>
      </w:r>
    </w:p>
    <w:p>
      <w:pPr>
        <w:ind w:firstLine="0"/>
        <w:rPr>
          <w:rFonts w:ascii="Times New Roman" w:eastAsia="黑体"/>
          <w:b/>
          <w:sz w:val="28"/>
          <w:szCs w:val="28"/>
        </w:rPr>
      </w:pPr>
      <w:r>
        <w:rPr>
          <w:rFonts w:ascii="Times New Roman" w:eastAsia="仿宋_GB2312"/>
          <w:sz w:val="28"/>
          <w:szCs w:val="28"/>
        </w:rPr>
        <w:br w:type="page"/>
      </w:r>
      <w:r>
        <w:rPr>
          <w:rFonts w:ascii="Times New Roman" w:eastAsia="黑体"/>
          <w:szCs w:val="32"/>
        </w:rPr>
        <w:t>附件5</w:t>
      </w:r>
    </w:p>
    <w:p>
      <w:pPr>
        <w:spacing w:line="500" w:lineRule="exact"/>
        <w:ind w:firstLine="0"/>
        <w:jc w:val="center"/>
        <w:rPr>
          <w:rFonts w:ascii="Times New Roman" w:eastAsia="方正大标宋简体"/>
          <w:sz w:val="36"/>
          <w:szCs w:val="36"/>
        </w:rPr>
      </w:pPr>
      <w:r>
        <w:rPr>
          <w:rFonts w:ascii="Times New Roman" w:eastAsia="方正大标宋简体"/>
          <w:sz w:val="36"/>
          <w:szCs w:val="36"/>
        </w:rPr>
        <w:t>相关名词释义</w:t>
      </w:r>
    </w:p>
    <w:p>
      <w:pPr>
        <w:spacing w:line="500" w:lineRule="exact"/>
        <w:jc w:val="center"/>
        <w:rPr>
          <w:rFonts w:ascii="Times New Roman" w:eastAsia="黑体"/>
          <w:szCs w:val="32"/>
        </w:rPr>
      </w:pPr>
    </w:p>
    <w:p>
      <w:pPr>
        <w:spacing w:line="440" w:lineRule="exact"/>
        <w:ind w:firstLine="560"/>
        <w:rPr>
          <w:rFonts w:ascii="Times New Roman" w:eastAsia="仿宋_GB2312"/>
          <w:bCs/>
          <w:sz w:val="30"/>
          <w:szCs w:val="30"/>
        </w:rPr>
      </w:pPr>
      <w:r>
        <w:rPr>
          <w:rFonts w:ascii="Times New Roman" w:eastAsia="仿宋_GB2312"/>
          <w:bCs/>
          <w:sz w:val="30"/>
          <w:szCs w:val="30"/>
        </w:rPr>
        <w:t>一、台风：指中心附近最大平均风力12级或以上，即风速在32.6米/秒以上的热带气旋。</w:t>
      </w:r>
    </w:p>
    <w:p>
      <w:pPr>
        <w:spacing w:line="440" w:lineRule="exact"/>
        <w:ind w:firstLine="560"/>
        <w:rPr>
          <w:rFonts w:ascii="Times New Roman" w:eastAsia="仿宋_GB2312"/>
          <w:bCs/>
          <w:sz w:val="30"/>
          <w:szCs w:val="30"/>
        </w:rPr>
      </w:pPr>
      <w:r>
        <w:rPr>
          <w:rFonts w:ascii="Times New Roman" w:eastAsia="仿宋_GB2312"/>
          <w:sz w:val="30"/>
          <w:szCs w:val="30"/>
        </w:rPr>
        <w:t>二、热带风暴：</w:t>
      </w:r>
      <w:r>
        <w:rPr>
          <w:rFonts w:ascii="Times New Roman" w:eastAsia="仿宋_GB2312"/>
          <w:bCs/>
          <w:sz w:val="30"/>
          <w:szCs w:val="30"/>
        </w:rPr>
        <w:t>指中心附近最大平均风力</w:t>
      </w:r>
      <w:r>
        <w:rPr>
          <w:rFonts w:ascii="Times New Roman" w:eastAsia="仿宋_GB2312"/>
          <w:sz w:val="30"/>
          <w:szCs w:val="30"/>
        </w:rPr>
        <w:t>大于8级小于12级</w:t>
      </w:r>
      <w:r>
        <w:rPr>
          <w:rFonts w:ascii="Times New Roman" w:eastAsia="仿宋_GB2312"/>
          <w:bCs/>
          <w:sz w:val="30"/>
          <w:szCs w:val="30"/>
        </w:rPr>
        <w:t>的热带气旋。</w:t>
      </w:r>
    </w:p>
    <w:p>
      <w:pPr>
        <w:spacing w:line="440" w:lineRule="exact"/>
        <w:ind w:firstLine="560"/>
        <w:rPr>
          <w:rFonts w:ascii="Times New Roman" w:eastAsia="仿宋_GB2312"/>
          <w:spacing w:val="8"/>
          <w:sz w:val="30"/>
          <w:szCs w:val="30"/>
        </w:rPr>
      </w:pPr>
      <w:r>
        <w:rPr>
          <w:rFonts w:ascii="Times New Roman" w:eastAsia="仿宋_GB2312"/>
          <w:bCs/>
          <w:sz w:val="30"/>
          <w:szCs w:val="30"/>
        </w:rPr>
        <w:t>三、暴雪：</w:t>
      </w:r>
      <w:r>
        <w:rPr>
          <w:rFonts w:ascii="Times New Roman" w:eastAsia="仿宋_GB2312"/>
          <w:spacing w:val="8"/>
          <w:sz w:val="30"/>
          <w:szCs w:val="30"/>
        </w:rPr>
        <w:t>指日降雪量（融化成水）大于等于10毫米。</w:t>
      </w:r>
    </w:p>
    <w:p>
      <w:pPr>
        <w:spacing w:line="440" w:lineRule="exact"/>
        <w:ind w:firstLine="560"/>
        <w:rPr>
          <w:rFonts w:ascii="Times New Roman" w:eastAsia="仿宋_GB2312"/>
          <w:bCs/>
          <w:sz w:val="30"/>
          <w:szCs w:val="30"/>
        </w:rPr>
      </w:pPr>
      <w:r>
        <w:rPr>
          <w:rFonts w:ascii="Times New Roman" w:eastAsia="仿宋_GB2312"/>
          <w:bCs/>
          <w:sz w:val="30"/>
          <w:szCs w:val="30"/>
        </w:rPr>
        <w:t>四、暴风：指风速在28.3米/秒，即风力等级表中的11级风。本保险条件的暴风责任扩大至8级风，即风速在17.2米/秒以上即构成暴风责任。</w:t>
      </w:r>
    </w:p>
    <w:p>
      <w:pPr>
        <w:spacing w:line="440" w:lineRule="exact"/>
        <w:ind w:firstLine="560"/>
        <w:rPr>
          <w:rFonts w:ascii="Times New Roman" w:eastAsia="仿宋_GB2312"/>
          <w:bCs/>
          <w:sz w:val="30"/>
          <w:szCs w:val="30"/>
        </w:rPr>
      </w:pPr>
      <w:r>
        <w:rPr>
          <w:rFonts w:ascii="Times New Roman" w:eastAsia="仿宋_GB2312"/>
          <w:bCs/>
          <w:sz w:val="30"/>
          <w:szCs w:val="30"/>
        </w:rPr>
        <w:t>五、暴雨：指每小时降雨量达16毫米以上，或连续12小时降雨量达30毫米以上，或连续24小时降雨量达50毫米以上。</w:t>
      </w:r>
    </w:p>
    <w:p>
      <w:pPr>
        <w:spacing w:line="440" w:lineRule="exact"/>
        <w:ind w:firstLine="560"/>
        <w:rPr>
          <w:rFonts w:ascii="Times New Roman" w:eastAsia="仿宋_GB2312"/>
          <w:bCs/>
          <w:sz w:val="30"/>
          <w:szCs w:val="30"/>
        </w:rPr>
      </w:pPr>
      <w:r>
        <w:rPr>
          <w:rFonts w:ascii="Times New Roman" w:eastAsia="仿宋_GB2312"/>
          <w:bCs/>
          <w:sz w:val="30"/>
          <w:szCs w:val="30"/>
        </w:rPr>
        <w:t>六、雷击：指由雷电造成的灾害。雷电为积雨云中、云间或云地之间产生的放电现象。</w:t>
      </w:r>
    </w:p>
    <w:p>
      <w:pPr>
        <w:spacing w:line="440" w:lineRule="exact"/>
        <w:ind w:firstLine="560"/>
        <w:rPr>
          <w:rFonts w:ascii="Times New Roman" w:eastAsia="仿宋_GB2312"/>
          <w:spacing w:val="8"/>
          <w:sz w:val="30"/>
          <w:szCs w:val="30"/>
        </w:rPr>
      </w:pPr>
      <w:r>
        <w:rPr>
          <w:rFonts w:ascii="Times New Roman" w:eastAsia="仿宋_GB2312"/>
          <w:bCs/>
          <w:sz w:val="30"/>
          <w:szCs w:val="30"/>
        </w:rPr>
        <w:t>七、地震：</w:t>
      </w:r>
      <w:r>
        <w:rPr>
          <w:rFonts w:ascii="Times New Roman" w:eastAsia="仿宋_GB2312"/>
          <w:spacing w:val="8"/>
          <w:sz w:val="30"/>
          <w:szCs w:val="30"/>
        </w:rPr>
        <w:t>是地球内部发生的急剧破裂产生的震波，在一定范围内引起地面振动的现象。仅限于自然灾害人身意外伤害保险保障。</w:t>
      </w:r>
    </w:p>
    <w:p>
      <w:pPr>
        <w:spacing w:line="440" w:lineRule="exact"/>
        <w:ind w:firstLine="560"/>
        <w:rPr>
          <w:rFonts w:ascii="Times New Roman" w:eastAsia="仿宋_GB2312"/>
          <w:spacing w:val="8"/>
          <w:sz w:val="30"/>
          <w:szCs w:val="30"/>
        </w:rPr>
      </w:pPr>
      <w:r>
        <w:rPr>
          <w:rFonts w:ascii="Times New Roman" w:eastAsia="仿宋_GB2312"/>
          <w:sz w:val="30"/>
          <w:szCs w:val="30"/>
        </w:rPr>
        <w:t>八、海啸：由风暴或海底地震造成的海面恶浪并伴随巨响的现象。是一种具有强大破坏力的海浪。</w:t>
      </w:r>
      <w:r>
        <w:rPr>
          <w:rFonts w:ascii="Times New Roman" w:eastAsia="仿宋_GB2312"/>
          <w:spacing w:val="8"/>
          <w:sz w:val="30"/>
          <w:szCs w:val="30"/>
        </w:rPr>
        <w:t>仅限于自然灾害人身意外伤害保险保障。</w:t>
      </w:r>
    </w:p>
    <w:p>
      <w:pPr>
        <w:spacing w:line="440" w:lineRule="exact"/>
        <w:ind w:firstLine="560"/>
        <w:rPr>
          <w:rFonts w:ascii="Times New Roman" w:eastAsia="仿宋_GB2312"/>
          <w:sz w:val="30"/>
          <w:szCs w:val="30"/>
        </w:rPr>
      </w:pPr>
      <w:r>
        <w:rPr>
          <w:rFonts w:ascii="Times New Roman" w:eastAsia="仿宋_GB2312"/>
          <w:bCs/>
          <w:sz w:val="30"/>
          <w:szCs w:val="30"/>
        </w:rPr>
        <w:t>九、</w:t>
      </w:r>
      <w:r>
        <w:rPr>
          <w:rFonts w:ascii="Times New Roman" w:eastAsia="仿宋_GB2312"/>
          <w:sz w:val="30"/>
          <w:szCs w:val="30"/>
        </w:rPr>
        <w:t>龙卷风：是在极不稳定天气下由空气强烈对流运动而产生的一种伴随着高速旋转的漏斗状云柱的强风涡旋，其中心附近风速可达100m/s～200m/s，最大300m/s。</w:t>
      </w:r>
    </w:p>
    <w:p>
      <w:pPr>
        <w:spacing w:line="440" w:lineRule="exact"/>
        <w:rPr>
          <w:rFonts w:ascii="Times New Roman" w:eastAsia="仿宋_GB2312"/>
          <w:sz w:val="30"/>
          <w:szCs w:val="30"/>
        </w:rPr>
      </w:pPr>
      <w:r>
        <w:rPr>
          <w:rFonts w:ascii="Times New Roman" w:eastAsia="仿宋_GB2312"/>
          <w:sz w:val="30"/>
          <w:szCs w:val="30"/>
        </w:rPr>
        <w:t>十、冰雹：从对流云中降落的由透明和不透明冰粒相间组成的固态降水。</w:t>
      </w:r>
    </w:p>
    <w:p>
      <w:bookmarkStart w:id="67" w:name="_GoBack"/>
      <w:bookmarkEnd w:id="6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E5B"/>
    <w:multiLevelType w:val="multilevel"/>
    <w:tmpl w:val="20B74E5B"/>
    <w:lvl w:ilvl="0" w:tentative="0">
      <w:start w:val="1"/>
      <w:numFmt w:val="decimal"/>
      <w:lvlText w:val="%1"/>
      <w:lvlJc w:val="left"/>
      <w:pPr>
        <w:ind w:left="425" w:hanging="425"/>
      </w:pPr>
    </w:lvl>
    <w:lvl w:ilvl="1" w:tentative="0">
      <w:start w:val="1"/>
      <w:numFmt w:val="decimal"/>
      <w:lvlText w:val="%1.%2"/>
      <w:lvlJc w:val="left"/>
      <w:pPr>
        <w:ind w:left="993"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B7F6E"/>
    <w:rsid w:val="044B7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3">
    <w:name w:val="heading 2"/>
    <w:basedOn w:val="1"/>
    <w:next w:val="1"/>
    <w:unhideWhenUsed/>
    <w:qFormat/>
    <w:uiPriority w:val="0"/>
    <w:pPr>
      <w:keepNext/>
      <w:keepLines/>
      <w:spacing w:before="260" w:after="260" w:line="416" w:lineRule="atLeast"/>
      <w:outlineLvl w:val="1"/>
    </w:pPr>
    <w:rPr>
      <w:rFonts w:asciiTheme="majorHAnsi" w:hAnsiTheme="majorHAnsi" w:eastAsiaTheme="majorEastAsia" w:cstheme="majorBidi"/>
      <w:b/>
      <w:bCs/>
      <w:szCs w:val="32"/>
    </w:rPr>
  </w:style>
  <w:style w:type="paragraph" w:styleId="4">
    <w:name w:val="heading 3"/>
    <w:basedOn w:val="1"/>
    <w:next w:val="1"/>
    <w:unhideWhenUsed/>
    <w:qFormat/>
    <w:uiPriority w:val="0"/>
    <w:pPr>
      <w:keepNext/>
      <w:keepLines/>
      <w:spacing w:before="260" w:after="260" w:line="416" w:lineRule="atLeast"/>
      <w:outlineLvl w:val="2"/>
    </w:pPr>
    <w:rPr>
      <w:b/>
      <w:bCs/>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5">
    <w:name w:val="Normal Indent"/>
    <w:basedOn w:val="1"/>
    <w:next w:val="1"/>
    <w:qFormat/>
    <w:uiPriority w:val="0"/>
    <w:pPr>
      <w:adjustRightInd w:val="0"/>
      <w:snapToGrid/>
      <w:ind w:firstLine="0"/>
      <w:jc w:val="left"/>
    </w:pPr>
    <w:rPr>
      <w:spacing w:val="-25"/>
    </w:rPr>
  </w:style>
  <w:style w:type="paragraph" w:customStyle="1" w:styleId="8">
    <w:name w:val="+正文"/>
    <w:basedOn w:val="1"/>
    <w:qFormat/>
    <w:uiPriority w:val="0"/>
    <w:pPr>
      <w:autoSpaceDE/>
      <w:autoSpaceDN/>
      <w:snapToGrid/>
      <w:spacing w:line="360" w:lineRule="auto"/>
      <w:ind w:firstLine="200" w:firstLineChars="200"/>
    </w:pPr>
    <w:rPr>
      <w:rFonts w:ascii="Times New Roman" w:eastAsia="宋体"/>
      <w:snapToGrid/>
      <w:kern w:val="2"/>
      <w:sz w:val="24"/>
    </w:rPr>
  </w:style>
  <w:style w:type="paragraph" w:customStyle="1" w:styleId="9">
    <w:name w:val="注解（小四，楷体）"/>
    <w:basedOn w:val="1"/>
    <w:qFormat/>
    <w:uiPriority w:val="0"/>
    <w:pPr>
      <w:widowControl/>
      <w:contextualSpacing/>
      <w:jc w:val="left"/>
    </w:pPr>
    <w:rPr>
      <w:rFonts w:ascii="楷体" w:hAnsi="楷体" w:eastAsia="楷体"/>
      <w:sz w:val="24"/>
      <w:szCs w:val="24"/>
    </w:rPr>
  </w:style>
  <w:style w:type="paragraph" w:customStyle="1" w:styleId="10">
    <w:name w:val="表格（小四，宋体）"/>
    <w:basedOn w:val="1"/>
    <w:qFormat/>
    <w:uiPriority w:val="0"/>
    <w:pPr>
      <w:widowControl/>
      <w:contextualSpacing/>
      <w:jc w:val="left"/>
    </w:pPr>
    <w:rPr>
      <w:rFonts w:ascii="宋体" w:hAnsi="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2021-01-26T07:59:00Z</dcterms:created>
  <dc:creator>fight for myself</dc:creator>
  <cp:lastModifiedBy>fight for myself</cp:lastModifiedBy>
  <dcterms:modified xsi:type="dcterms:W3CDTF">2021-01-26T07:59:59Z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