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Times New Roman" w:eastAsia="方正小标宋简体"/>
          <w:sz w:val="44"/>
          <w:szCs w:val="40"/>
        </w:rPr>
      </w:pPr>
      <w:r>
        <w:rPr>
          <w:rFonts w:ascii="Times New Roman" w:eastAsia="方正小标宋简体"/>
          <w:sz w:val="44"/>
          <w:szCs w:val="40"/>
        </w:rPr>
        <w:t>太仓市“十四五”文化和体育发展规划</w:t>
      </w:r>
    </w:p>
    <w:p>
      <w:pPr>
        <w:spacing w:line="560" w:lineRule="exact"/>
        <w:rPr>
          <w:rFonts w:ascii="Times New Roman" w:eastAsia="方正小标宋简体"/>
          <w:bCs/>
          <w:szCs w:val="28"/>
        </w:rPr>
      </w:pPr>
    </w:p>
    <w:p>
      <w:pPr>
        <w:spacing w:line="560" w:lineRule="exact"/>
        <w:ind w:firstLine="640" w:firstLineChars="200"/>
        <w:rPr>
          <w:rFonts w:ascii="Times New Roman" w:eastAsia="仿宋_GB2312"/>
          <w:szCs w:val="32"/>
        </w:rPr>
      </w:pPr>
      <w:r>
        <w:rPr>
          <w:rFonts w:ascii="Times New Roman" w:eastAsia="仿宋_GB2312"/>
          <w:szCs w:val="32"/>
        </w:rPr>
        <w:t>“十四五”是我国全面建成小康社会、实现第一个百年奋斗目标之后，乘势而上开启全面建设社会主义现代化国家新征程的首个五年，也是太仓把握新发展阶段，贯彻新发展理念，融入新发展格局，加快打造沪苏同城“桥头堡”，努力推动高质量发展、建设高能级城市、创造高品质生活、实现高效能治理，激情谱写社会主义现代化建设精彩篇章的关键五年。为深入贯彻党的十九大和十九届二中、三中、四中、五中、六中全会精神，落实《太仓市国民经济和社会发展第十四个五年规划纲要》目标任务，扎实推进“文化强市”“体育强市”建设，全面提升城市文化软实力，特编制本规划。本规划规划期为2021年至2025年，展望到2035年，由</w:t>
      </w:r>
      <w:bookmarkStart w:id="0" w:name="_Hlk58010127"/>
      <w:bookmarkStart w:id="1" w:name="_Hlk58060718"/>
      <w:r>
        <w:rPr>
          <w:rFonts w:ascii="Times New Roman" w:eastAsia="仿宋_GB2312"/>
          <w:szCs w:val="32"/>
        </w:rPr>
        <w:t>市委宣传部、市文体广旅局共同编制</w:t>
      </w:r>
      <w:bookmarkEnd w:id="0"/>
      <w:bookmarkEnd w:id="1"/>
      <w:r>
        <w:rPr>
          <w:rFonts w:ascii="Times New Roman" w:eastAsia="仿宋_GB2312"/>
          <w:szCs w:val="32"/>
        </w:rPr>
        <w:t>。</w:t>
      </w:r>
    </w:p>
    <w:p>
      <w:pPr>
        <w:spacing w:line="560" w:lineRule="exact"/>
        <w:ind w:firstLine="640" w:firstLineChars="200"/>
        <w:rPr>
          <w:rFonts w:ascii="Times New Roman" w:eastAsia="黑体"/>
          <w:szCs w:val="32"/>
        </w:rPr>
      </w:pPr>
      <w:bookmarkStart w:id="2" w:name="_Toc32143"/>
      <w:bookmarkStart w:id="3" w:name="_Toc29606"/>
      <w:bookmarkStart w:id="4" w:name="_Toc27595"/>
      <w:bookmarkStart w:id="5" w:name="_Toc19920"/>
      <w:r>
        <w:rPr>
          <w:rFonts w:ascii="Times New Roman" w:eastAsia="黑体"/>
          <w:szCs w:val="32"/>
        </w:rPr>
        <w:t>一、发展基础</w:t>
      </w:r>
      <w:bookmarkEnd w:id="2"/>
      <w:bookmarkEnd w:id="3"/>
      <w:bookmarkEnd w:id="4"/>
      <w:bookmarkEnd w:id="5"/>
    </w:p>
    <w:p>
      <w:pPr>
        <w:spacing w:line="560" w:lineRule="exact"/>
        <w:ind w:firstLine="640" w:firstLineChars="200"/>
        <w:rPr>
          <w:rFonts w:ascii="Times New Roman" w:eastAsia="仿宋_GB2312"/>
          <w:szCs w:val="32"/>
        </w:rPr>
      </w:pPr>
      <w:r>
        <w:rPr>
          <w:rFonts w:ascii="Times New Roman" w:eastAsia="仿宋_GB2312"/>
          <w:szCs w:val="32"/>
        </w:rPr>
        <w:t>“十三五”期间，太仓精神文明、文艺创作、文体事业和产业快速发展。</w:t>
      </w:r>
      <w:r>
        <w:rPr>
          <w:rFonts w:ascii="Times New Roman" w:eastAsia="楷体_GB2312"/>
          <w:szCs w:val="32"/>
        </w:rPr>
        <w:t>一是培根铸魂工程成效显著。</w:t>
      </w:r>
      <w:r>
        <w:rPr>
          <w:rFonts w:ascii="Times New Roman" w:eastAsia="仿宋_GB2312"/>
          <w:szCs w:val="32"/>
        </w:rPr>
        <w:t>坚持以习近平新时代中国特色社会主义思想武装全体党员干部、教育全市人民群众，用中国梦和社会主义核心价值观增强文化共识、汇聚精神力量。新型智库建设取得新突破，理论社科人才队伍水平持续提升，高质量理论研究和社科应用研究成果不断涌现。</w:t>
      </w:r>
      <w:r>
        <w:rPr>
          <w:rFonts w:ascii="Times New Roman" w:eastAsia="楷体_GB2312"/>
          <w:szCs w:val="32"/>
        </w:rPr>
        <w:t>二是社会文明程度不断提升。</w:t>
      </w:r>
      <w:r>
        <w:rPr>
          <w:rFonts w:ascii="Times New Roman" w:eastAsia="仿宋_GB2312"/>
          <w:szCs w:val="32"/>
        </w:rPr>
        <w:t>公民道德建设工程顺利实施，爱国主义教育基地建设、诚信建设、志愿服务体系建设稳步推进，2020年11月，太仓成功入选全国文明城市。主流舆论阵地建设工作持续加强，社会舆情引导机制基本健全，清朗网络空间建设成效明显。</w:t>
      </w:r>
      <w:r>
        <w:rPr>
          <w:rFonts w:ascii="Times New Roman" w:eastAsia="楷体_GB2312"/>
          <w:szCs w:val="32"/>
        </w:rPr>
        <w:t>三是融媒体建设进展顺利。</w:t>
      </w:r>
      <w:r>
        <w:rPr>
          <w:rFonts w:ascii="Times New Roman" w:eastAsia="仿宋_GB2312"/>
          <w:szCs w:val="32"/>
        </w:rPr>
        <w:t>市“融媒体”建设阶段性任务圆满完成，市融媒体中心挂牌成立，形成了具有多样传播形态、多元传播渠道、多种平台终端且特色更鲜明、覆盖更广泛、传播更快捷的现代传播体系，主流媒体传播力、公信力、影响力和覆盖面有效提升。</w:t>
      </w:r>
      <w:bookmarkStart w:id="6" w:name="_Toc24684"/>
      <w:bookmarkStart w:id="7" w:name="_Toc32445"/>
      <w:bookmarkStart w:id="8" w:name="_Toc27323"/>
      <w:bookmarkStart w:id="9" w:name="_Toc22092"/>
      <w:r>
        <w:rPr>
          <w:rFonts w:ascii="Times New Roman" w:eastAsia="楷体_GB2312"/>
          <w:szCs w:val="32"/>
        </w:rPr>
        <w:t>四是文艺精品创作成果丰硕。</w:t>
      </w:r>
      <w:r>
        <w:rPr>
          <w:rFonts w:ascii="Times New Roman" w:eastAsia="仿宋_GB2312"/>
          <w:szCs w:val="32"/>
        </w:rPr>
        <w:t>以人民为中心的创作导向牢固树立，文艺精品创作生产规划引导更加科学，文艺作品评价标准和评价体系持续完善。文艺工作者深入生活扎根人民的长效机制有力健全，全市人民群众文化艺术素养显著提升，音乐、舞蹈、戏曲、美术、摄影等各类艺术创作新品精品不断涌现。</w:t>
      </w:r>
      <w:bookmarkEnd w:id="6"/>
      <w:bookmarkEnd w:id="7"/>
      <w:bookmarkEnd w:id="8"/>
      <w:bookmarkEnd w:id="9"/>
      <w:r>
        <w:rPr>
          <w:rFonts w:ascii="Times New Roman" w:eastAsia="楷体_GB2312"/>
          <w:szCs w:val="32"/>
        </w:rPr>
        <w:t>五是公共文化服务现代化再上新台阶。</w:t>
      </w:r>
      <w:r>
        <w:rPr>
          <w:rFonts w:ascii="Times New Roman" w:eastAsia="仿宋_GB2312"/>
          <w:szCs w:val="32"/>
        </w:rPr>
        <w:t>太仓作为国家、省两级公共文化服务体系示范区后续建设工作持续推进，建成了覆盖城乡、普惠均等、实用高效、群众满意、全国领先、接轨国际的现代公共文化服务体系。市图书馆、文化馆均为国家一级馆，人均公共文化设施面积达0.5</w:t>
      </w:r>
      <w:bookmarkStart w:id="10" w:name="OLE_LINK3"/>
      <w:bookmarkStart w:id="11" w:name="OLE_LINK2"/>
      <w:r>
        <w:rPr>
          <w:rFonts w:ascii="Times New Roman" w:eastAsia="仿宋_GB2312"/>
          <w:szCs w:val="32"/>
        </w:rPr>
        <w:t>平方米，公共文化服务标准化和均等化程度达90%以上</w:t>
      </w:r>
      <w:bookmarkEnd w:id="10"/>
      <w:bookmarkEnd w:id="11"/>
      <w:r>
        <w:rPr>
          <w:rFonts w:ascii="Times New Roman" w:eastAsia="仿宋_GB2312"/>
          <w:szCs w:val="32"/>
        </w:rPr>
        <w:t>，全市居民综合阅读率达90%以上。应急广播体系建成并通过省级验收，有线智慧镇（街道）建设基本实现全覆盖。</w:t>
      </w:r>
      <w:r>
        <w:rPr>
          <w:rFonts w:ascii="Times New Roman" w:eastAsia="楷体_GB2312"/>
          <w:szCs w:val="32"/>
        </w:rPr>
        <w:t>六是公共体育服务现代化成效显著。</w:t>
      </w:r>
      <w:bookmarkStart w:id="12" w:name="_Toc13433"/>
      <w:bookmarkStart w:id="13" w:name="_Toc15302"/>
      <w:bookmarkStart w:id="14" w:name="_Toc23828"/>
      <w:bookmarkStart w:id="15" w:name="_Toc4146"/>
      <w:r>
        <w:rPr>
          <w:rFonts w:ascii="Times New Roman" w:eastAsia="仿宋_GB2312"/>
          <w:szCs w:val="32"/>
        </w:rPr>
        <w:t>体育公共服务设施持续完善，“10分钟体育健身圈”全面建成，全市常住人口人均体育场地面积达4.6平方米，健身步道总里程达144.2公里。全市公共文体设施及无寄宿学校体育场地开放率达100%。建成天镜湖公园等3个苏州Ⅲ类体育公园。全市共有体育产业类企业593家，体育及相关产业总规模达68.6亿元。</w:t>
      </w:r>
      <w:r>
        <w:rPr>
          <w:rFonts w:ascii="Times New Roman" w:eastAsia="楷体_GB2312"/>
          <w:szCs w:val="32"/>
        </w:rPr>
        <w:t>七是文化遗产保护和利用水平稳步提升。</w:t>
      </w:r>
      <w:r>
        <w:rPr>
          <w:rFonts w:ascii="Times New Roman" w:eastAsia="仿宋_GB2312"/>
          <w:szCs w:val="32"/>
        </w:rPr>
        <w:t>市、镇、村三级文物安全管理网络建立健全，中华优秀传统文化、地方特色文化保护传承和利用体系基本建立，历史文化资源得到更好梳理、研究和利用，文物资源保护率和完好率不断提升，非物质文化遗产基本实现“见人见物见生活”。文化遗产数字化保护能力大幅度改善。“海上丝绸之路”联合申遗顺利推进。</w:t>
      </w:r>
      <w:r>
        <w:rPr>
          <w:rFonts w:ascii="Times New Roman" w:eastAsia="楷体_GB2312"/>
          <w:szCs w:val="32"/>
        </w:rPr>
        <w:t>八是文化产业发展量增质优。</w:t>
      </w:r>
      <w:r>
        <w:rPr>
          <w:rFonts w:ascii="Times New Roman" w:eastAsia="仿宋_GB2312"/>
          <w:szCs w:val="32"/>
        </w:rPr>
        <w:t>全市文化产业园区稳步发展，天镜湖文化科技产业园、科技创业园等初见成效。新兴数字文化业态快速成长，文化产业与科技、创意、设计、旅游、农业等领域融合度不断深化，文化创意、文化旅游、电子竞技等重点产业发展态势良好，全民健身对体育及相关产业带动明显，竞技体育产业发展扎实推进。</w:t>
      </w:r>
      <w:r>
        <w:rPr>
          <w:rFonts w:ascii="Times New Roman" w:eastAsia="楷体_GB2312"/>
          <w:szCs w:val="32"/>
        </w:rPr>
        <w:t>九是对外文化交流特色鲜明。</w:t>
      </w:r>
      <w:r>
        <w:rPr>
          <w:rFonts w:ascii="Times New Roman" w:eastAsia="仿宋_GB2312"/>
          <w:szCs w:val="32"/>
        </w:rPr>
        <w:t>依托与德国经贸交流合作的不断拓展，太仓对德合作在文化领域持续深化内涵，文化对外开放水平全面提升。形成了一批优质的文化开放载体、对外文化交流品牌、外向型骨干文化企业和海外文化贸易平台，文化开放体系和开放格局更加完善，文化对外影响力和传播能力不断增强。</w:t>
      </w:r>
      <w:bookmarkEnd w:id="12"/>
      <w:bookmarkEnd w:id="13"/>
      <w:bookmarkEnd w:id="14"/>
      <w:bookmarkEnd w:id="15"/>
      <w:r>
        <w:rPr>
          <w:rFonts w:ascii="Times New Roman" w:eastAsia="楷体_GB2312"/>
          <w:szCs w:val="32"/>
        </w:rPr>
        <w:t>十是文化体制机制改革纵深推进。</w:t>
      </w:r>
      <w:r>
        <w:rPr>
          <w:rFonts w:ascii="Times New Roman" w:eastAsia="仿宋_GB2312"/>
          <w:szCs w:val="32"/>
        </w:rPr>
        <w:t>新闻媒体内部运行机制改革、传统媒体和新兴媒体融合继续深化。公共文化机构理事会制度和图书馆、文化馆总分馆制加快推进，公共文化服务标准体系和群众反馈机制建立完善。文化市场综合行政执法改革、“放管服”改革不断深化，行业组织建设得到加强，“互联网+政务服务”全面实施，文化领域营商环境持续优化。</w:t>
      </w:r>
    </w:p>
    <w:p>
      <w:pPr>
        <w:spacing w:line="560" w:lineRule="exact"/>
        <w:ind w:firstLine="640" w:firstLineChars="200"/>
        <w:rPr>
          <w:rFonts w:ascii="Times New Roman" w:eastAsia="仿宋_GB2312"/>
          <w:szCs w:val="32"/>
        </w:rPr>
      </w:pPr>
      <w:r>
        <w:rPr>
          <w:rFonts w:ascii="Times New Roman" w:eastAsia="仿宋_GB2312"/>
          <w:szCs w:val="32"/>
        </w:rPr>
        <w:t>“十三五”期间，太仓市文化和体育领域各项工作呈现出快速推进、卓有成效的良好局面，但是，从新时代全方位高质量发展的要求来看，依然存在不少短板和薄弱环节。</w:t>
      </w:r>
      <w:r>
        <w:rPr>
          <w:rFonts w:ascii="Times New Roman" w:eastAsia="仿宋_GB2312"/>
          <w:bCs/>
          <w:szCs w:val="32"/>
        </w:rPr>
        <w:t>媒体融合有待进一步深入推进，全媒体传播体系还需要继续完善；太仓丰厚的</w:t>
      </w:r>
      <w:r>
        <w:rPr>
          <w:rFonts w:ascii="Times New Roman" w:eastAsia="仿宋_GB2312"/>
          <w:szCs w:val="32"/>
        </w:rPr>
        <w:t>历史人文资源需要加大力度开展收集整理、</w:t>
      </w:r>
      <w:r>
        <w:rPr>
          <w:rFonts w:ascii="Times New Roman" w:eastAsia="仿宋_GB2312"/>
          <w:bCs/>
          <w:szCs w:val="32"/>
        </w:rPr>
        <w:t>挖掘提炼；文艺精品创作需要立足“高原”、勇攀“高峰”；城乡文化和体育公共服务一体化建设需要进一步深化，产品和服务供给质量与人民群众高品质文化需求及其变化还不相适应；文化与科技融合，特别是与</w:t>
      </w:r>
      <w:r>
        <w:rPr>
          <w:rFonts w:ascii="Times New Roman" w:eastAsia="仿宋_GB2312"/>
          <w:szCs w:val="32"/>
        </w:rPr>
        <w:t>数字化、网络化、智能化相关的新兴产业融合发展还需要加速</w:t>
      </w:r>
      <w:r>
        <w:rPr>
          <w:rFonts w:ascii="Times New Roman" w:eastAsia="仿宋_GB2312"/>
          <w:bCs/>
          <w:szCs w:val="32"/>
        </w:rPr>
        <w:t>；文化和体育领域人才结构需要进一步优化，基层专业服务人才缺乏的短板需要加快弥补</w:t>
      </w:r>
      <w:r>
        <w:rPr>
          <w:rFonts w:ascii="Times New Roman" w:eastAsia="仿宋_GB2312"/>
          <w:szCs w:val="32"/>
        </w:rPr>
        <w:t>。</w:t>
      </w:r>
    </w:p>
    <w:p>
      <w:pPr>
        <w:spacing w:line="560" w:lineRule="exact"/>
        <w:ind w:firstLine="640" w:firstLineChars="200"/>
        <w:rPr>
          <w:rFonts w:ascii="Times New Roman" w:eastAsia="仿宋_GB2312"/>
          <w:bCs/>
          <w:szCs w:val="32"/>
        </w:rPr>
      </w:pPr>
      <w:r>
        <w:rPr>
          <w:rFonts w:ascii="Times New Roman" w:eastAsia="仿宋_GB2312"/>
          <w:szCs w:val="32"/>
        </w:rPr>
        <w:t>“十四五”时期以及到2035年，太仓市经济社会发展和文化建设仍然处于重要战略机遇期。世界百年未有之大变局加速演变，</w:t>
      </w:r>
      <w:r>
        <w:rPr>
          <w:rFonts w:ascii="Times New Roman" w:eastAsia="仿宋_GB2312"/>
          <w:bCs/>
          <w:szCs w:val="32"/>
        </w:rPr>
        <w:t>国内大循环为主体、国内国际双循环相互促进，</w:t>
      </w:r>
      <w:r>
        <w:rPr>
          <w:rFonts w:ascii="Times New Roman" w:eastAsia="仿宋_GB2312"/>
          <w:szCs w:val="32"/>
        </w:rPr>
        <w:t>对于增强文化自信、推动</w:t>
      </w:r>
      <w:r>
        <w:rPr>
          <w:rFonts w:ascii="Times New Roman" w:eastAsia="仿宋_GB2312"/>
          <w:bCs/>
          <w:szCs w:val="32"/>
        </w:rPr>
        <w:t>文化和体育事业产业同步发力，</w:t>
      </w:r>
      <w:r>
        <w:rPr>
          <w:rFonts w:ascii="Times New Roman" w:eastAsia="仿宋_GB2312"/>
          <w:szCs w:val="32"/>
        </w:rPr>
        <w:t>建设文化和体育强市提出更高要求。在</w:t>
      </w:r>
      <w:r>
        <w:rPr>
          <w:rFonts w:ascii="Times New Roman" w:eastAsia="仿宋_GB2312"/>
          <w:bCs/>
          <w:szCs w:val="32"/>
        </w:rPr>
        <w:t>新冠疫情常态化防控独特背景下，人民对美好生活的向往和“现代田园城、幸福金太仓”建设，需要文化和体育领域进一步深化供给侧结构性改革，加快实现高质量发展；需要数字化时代的革命性变化，特别是“融入上海”“对德合作”“以港强市”三篇文章的实施，强力推动文化和体育加快跨部门、跨行业、跨地区多维深度融合创新，增强经济社会发展动能。</w:t>
      </w:r>
      <w:bookmarkStart w:id="16" w:name="_Toc2088"/>
      <w:bookmarkStart w:id="17" w:name="_Toc7462"/>
      <w:bookmarkStart w:id="18" w:name="_Toc19299"/>
      <w:bookmarkStart w:id="19" w:name="_Toc32661"/>
    </w:p>
    <w:p>
      <w:pPr>
        <w:spacing w:line="560" w:lineRule="exact"/>
        <w:ind w:firstLine="640" w:firstLineChars="200"/>
        <w:rPr>
          <w:rFonts w:ascii="Times New Roman" w:eastAsia="黑体"/>
          <w:b/>
          <w:bCs/>
        </w:rPr>
      </w:pPr>
      <w:r>
        <w:rPr>
          <w:rFonts w:ascii="Times New Roman" w:eastAsia="黑体"/>
        </w:rPr>
        <w:t>二、</w:t>
      </w:r>
      <w:bookmarkEnd w:id="16"/>
      <w:bookmarkEnd w:id="17"/>
      <w:bookmarkEnd w:id="18"/>
      <w:bookmarkEnd w:id="19"/>
      <w:r>
        <w:rPr>
          <w:rFonts w:ascii="Times New Roman" w:eastAsia="黑体"/>
        </w:rPr>
        <w:t>总体要求</w:t>
      </w:r>
    </w:p>
    <w:p>
      <w:pPr>
        <w:pStyle w:val="2"/>
        <w:widowControl/>
        <w:spacing w:before="0" w:after="0" w:line="560" w:lineRule="exact"/>
        <w:ind w:firstLine="640" w:firstLineChars="200"/>
        <w:rPr>
          <w:rFonts w:ascii="Times New Roman" w:hAnsi="Times New Roman" w:eastAsia="楷体_GB2312" w:cs="Times New Roman"/>
          <w:b w:val="0"/>
        </w:rPr>
      </w:pPr>
      <w:bookmarkStart w:id="20" w:name="_Toc27545"/>
      <w:bookmarkStart w:id="21" w:name="_Toc8467"/>
      <w:bookmarkStart w:id="22" w:name="_Toc10513"/>
      <w:bookmarkStart w:id="23" w:name="_Toc3206"/>
      <w:r>
        <w:rPr>
          <w:rFonts w:ascii="Times New Roman" w:hAnsi="Times New Roman" w:eastAsia="楷体_GB2312" w:cs="Times New Roman"/>
          <w:b w:val="0"/>
        </w:rPr>
        <w:t>（一）指导思想</w:t>
      </w:r>
      <w:bookmarkEnd w:id="20"/>
      <w:bookmarkEnd w:id="21"/>
      <w:bookmarkEnd w:id="22"/>
      <w:bookmarkEnd w:id="23"/>
    </w:p>
    <w:p>
      <w:pPr>
        <w:spacing w:line="560" w:lineRule="exact"/>
        <w:ind w:firstLine="640" w:firstLineChars="200"/>
        <w:rPr>
          <w:rFonts w:ascii="Times New Roman" w:eastAsia="仿宋_GB2312"/>
          <w:bCs/>
          <w:szCs w:val="32"/>
        </w:rPr>
      </w:pPr>
      <w:r>
        <w:rPr>
          <w:rFonts w:ascii="Times New Roman" w:eastAsia="仿宋_GB2312"/>
          <w:bCs/>
          <w:szCs w:val="32"/>
        </w:rPr>
        <w:t>坚持以习近平新时代中国特色社会主义思想为指导，全面贯彻落实党的十九大、十九届二中、三中、四中、五中、六中全会精神，以社会主义核心价值观为引领，全面贯彻落实江苏省委省政府和苏州市委市政府各项决策部署，全面贯彻落实市委十四次党代会提出的关于“奋力拼出‘太仓速度’，勇担使命跨越发展，激情谱写社会主义现代化建设太仓精彩篇章”的工作要求，紧紧围绕“两个高于”“三篇文章”，以高质量发展为主题，以深化供给侧结构性改革为主线，以改革创新为根本动力，加强社会主义精神文明建设，着力加快高素质文明社会建设，着力构建高水平现代文化传播体系，着力推进文化和体育事业产业高质量发展，为建成具有中国特色、时代特征、江南特点的现代化城市提供坚实的文化支撑，激情谱写太仓社会主义现代化建设的文化和体育精彩篇章。</w:t>
      </w:r>
    </w:p>
    <w:p>
      <w:pPr>
        <w:pStyle w:val="2"/>
        <w:widowControl/>
        <w:spacing w:before="0" w:after="0" w:line="560" w:lineRule="exact"/>
        <w:ind w:firstLine="640" w:firstLineChars="200"/>
        <w:rPr>
          <w:rFonts w:ascii="Times New Roman" w:hAnsi="Times New Roman" w:eastAsia="楷体_GB2312" w:cs="Times New Roman"/>
          <w:b w:val="0"/>
        </w:rPr>
      </w:pPr>
      <w:bookmarkStart w:id="24" w:name="_Toc9293"/>
      <w:bookmarkStart w:id="25" w:name="_Toc15108"/>
      <w:bookmarkStart w:id="26" w:name="_Toc21786"/>
      <w:bookmarkStart w:id="27" w:name="_Toc27099"/>
      <w:r>
        <w:rPr>
          <w:rFonts w:ascii="Times New Roman" w:hAnsi="Times New Roman" w:eastAsia="楷体_GB2312" w:cs="Times New Roman"/>
          <w:b w:val="0"/>
        </w:rPr>
        <w:t>（二）基本原则</w:t>
      </w:r>
      <w:bookmarkEnd w:id="24"/>
      <w:bookmarkEnd w:id="25"/>
      <w:bookmarkEnd w:id="26"/>
      <w:bookmarkEnd w:id="27"/>
    </w:p>
    <w:p>
      <w:pPr>
        <w:pStyle w:val="6"/>
        <w:widowControl/>
        <w:snapToGrid w:val="0"/>
        <w:spacing w:before="0" w:after="0" w:line="560" w:lineRule="exact"/>
        <w:ind w:firstLine="643" w:firstLineChars="200"/>
        <w:rPr>
          <w:rFonts w:eastAsia="仿宋_GB2312"/>
          <w:bCs/>
          <w:sz w:val="32"/>
          <w:szCs w:val="32"/>
        </w:rPr>
      </w:pPr>
      <w:bookmarkStart w:id="28" w:name="_Toc14176"/>
      <w:bookmarkStart w:id="29" w:name="_Toc28466"/>
      <w:bookmarkStart w:id="30" w:name="_Toc16758"/>
      <w:bookmarkStart w:id="31" w:name="_Toc3147"/>
      <w:r>
        <w:rPr>
          <w:rFonts w:eastAsia="仿宋_GB2312"/>
          <w:b/>
          <w:sz w:val="32"/>
          <w:szCs w:val="32"/>
        </w:rPr>
        <w:t>1. 坚持正确方向</w:t>
      </w:r>
      <w:bookmarkEnd w:id="28"/>
      <w:bookmarkEnd w:id="29"/>
      <w:bookmarkEnd w:id="30"/>
      <w:bookmarkEnd w:id="31"/>
      <w:r>
        <w:rPr>
          <w:rFonts w:eastAsia="仿宋_GB2312"/>
          <w:bCs/>
          <w:sz w:val="32"/>
          <w:szCs w:val="32"/>
        </w:rPr>
        <w:t>。坚持以社会主义核心价值观引领文化和体育建设，紧紧围绕举旗帜、聚民心、育新人、兴文化、展形象使命任务，加强理想信念教育和思想道德教育，促进满足人民文化需求和增强人民精神力量相统一，传承和弘扬优秀传统文化。</w:t>
      </w:r>
    </w:p>
    <w:p>
      <w:pPr>
        <w:spacing w:line="560" w:lineRule="exact"/>
        <w:ind w:firstLine="643" w:firstLineChars="200"/>
        <w:rPr>
          <w:rFonts w:ascii="Times New Roman" w:eastAsia="仿宋_GB2312"/>
          <w:bCs/>
          <w:szCs w:val="32"/>
        </w:rPr>
      </w:pPr>
      <w:bookmarkStart w:id="32" w:name="_Toc21451"/>
      <w:bookmarkStart w:id="33" w:name="_Toc1330"/>
      <w:bookmarkStart w:id="34" w:name="_Toc20312"/>
      <w:bookmarkStart w:id="35" w:name="_Toc1972"/>
      <w:r>
        <w:rPr>
          <w:rFonts w:ascii="Times New Roman" w:eastAsia="仿宋_GB2312"/>
          <w:b/>
          <w:szCs w:val="32"/>
        </w:rPr>
        <w:t>2. 坚持人民至上</w:t>
      </w:r>
      <w:bookmarkEnd w:id="32"/>
      <w:bookmarkEnd w:id="33"/>
      <w:bookmarkEnd w:id="34"/>
      <w:bookmarkEnd w:id="35"/>
      <w:r>
        <w:rPr>
          <w:rFonts w:ascii="Times New Roman" w:eastAsia="仿宋_GB2312"/>
          <w:bCs/>
          <w:szCs w:val="32"/>
        </w:rPr>
        <w:t>。始终坚持以人民为中心，坚持文化和体育发展为了人民、文化和体育发展依靠人民、文化和体育发展成果由人民共享，保障好、维护好、实现好人民基本文化和体育权益，努力激发全市人民参与文体事业和产业发展的积极性、主动性、创造性。</w:t>
      </w:r>
      <w:bookmarkStart w:id="36" w:name="_Toc25752"/>
      <w:bookmarkStart w:id="37" w:name="_Toc16561"/>
      <w:bookmarkStart w:id="38" w:name="_Toc28607"/>
      <w:bookmarkStart w:id="39" w:name="_Toc13833"/>
    </w:p>
    <w:p>
      <w:pPr>
        <w:spacing w:line="560" w:lineRule="exact"/>
        <w:ind w:firstLine="643" w:firstLineChars="200"/>
        <w:rPr>
          <w:rFonts w:ascii="Times New Roman" w:eastAsia="仿宋_GB2312"/>
          <w:bCs/>
          <w:szCs w:val="32"/>
        </w:rPr>
      </w:pPr>
      <w:r>
        <w:rPr>
          <w:rFonts w:ascii="Times New Roman" w:eastAsia="仿宋_GB2312"/>
          <w:b/>
          <w:szCs w:val="32"/>
        </w:rPr>
        <w:t>3. 坚持深化改革</w:t>
      </w:r>
      <w:bookmarkEnd w:id="36"/>
      <w:bookmarkEnd w:id="37"/>
      <w:bookmarkEnd w:id="38"/>
      <w:bookmarkEnd w:id="39"/>
      <w:r>
        <w:rPr>
          <w:rFonts w:ascii="Times New Roman" w:eastAsia="仿宋_GB2312"/>
          <w:bCs/>
          <w:szCs w:val="32"/>
        </w:rPr>
        <w:t>。加快推进文化和体育领域治理体系和治理能力现代化，破除制约文化和体育高质量发展的体制机制障碍。创新“苏沪同城”“桥头堡”区域文化和体育一体化发展机制，推进文化和体育与其他领域融合发展，提高资源配置效率，增强发展动力和活力。</w:t>
      </w:r>
      <w:bookmarkStart w:id="40" w:name="_Toc16219"/>
      <w:bookmarkStart w:id="41" w:name="_Toc8717"/>
      <w:bookmarkStart w:id="42" w:name="_Toc15261"/>
      <w:bookmarkStart w:id="43" w:name="_Toc28302"/>
    </w:p>
    <w:p>
      <w:pPr>
        <w:pStyle w:val="7"/>
        <w:widowControl/>
        <w:shd w:val="clear" w:color="auto" w:fill="FFFFFF"/>
        <w:spacing w:before="0" w:beforeAutospacing="0" w:after="0" w:afterAutospacing="0" w:line="560" w:lineRule="exact"/>
        <w:ind w:firstLine="643" w:firstLineChars="200"/>
        <w:rPr>
          <w:rFonts w:ascii="Times New Roman" w:eastAsia="仿宋_GB2312"/>
          <w:sz w:val="32"/>
          <w:szCs w:val="32"/>
        </w:rPr>
      </w:pPr>
      <w:r>
        <w:rPr>
          <w:rFonts w:ascii="Times New Roman" w:eastAsia="仿宋_GB2312"/>
          <w:b/>
          <w:sz w:val="32"/>
          <w:szCs w:val="32"/>
        </w:rPr>
        <w:t>4. 坚持高质量发展</w:t>
      </w:r>
      <w:bookmarkEnd w:id="40"/>
      <w:bookmarkEnd w:id="41"/>
      <w:bookmarkEnd w:id="42"/>
      <w:bookmarkEnd w:id="43"/>
      <w:r>
        <w:rPr>
          <w:rFonts w:ascii="Times New Roman" w:eastAsia="仿宋_GB2312"/>
          <w:bCs/>
          <w:sz w:val="32"/>
          <w:szCs w:val="32"/>
        </w:rPr>
        <w:t>。坚持把新发展理念贯穿于文化和体育改革发展全过程和各方面，坚持以深化文化和体育供给侧结构性改革为主线，加快构建质量第一、效益优先、人民满意的新发展格局，注重文化和体育改革发展的前瞻性、</w:t>
      </w:r>
      <w:r>
        <w:rPr>
          <w:rFonts w:ascii="Times New Roman" w:eastAsia="仿宋_GB2312"/>
          <w:sz w:val="32"/>
          <w:szCs w:val="32"/>
        </w:rPr>
        <w:t>全局性、战略性、整体性和协同性。</w:t>
      </w:r>
    </w:p>
    <w:p>
      <w:pPr>
        <w:pStyle w:val="2"/>
        <w:widowControl/>
        <w:spacing w:before="0" w:after="0" w:line="560" w:lineRule="exact"/>
        <w:ind w:firstLine="640" w:firstLineChars="200"/>
        <w:rPr>
          <w:rFonts w:ascii="Times New Roman" w:hAnsi="Times New Roman" w:eastAsia="楷体_GB2312" w:cs="Times New Roman"/>
          <w:b w:val="0"/>
        </w:rPr>
      </w:pPr>
      <w:bookmarkStart w:id="44" w:name="_Toc14439"/>
      <w:bookmarkStart w:id="45" w:name="_Toc18682"/>
      <w:bookmarkStart w:id="46" w:name="_Toc10532"/>
      <w:bookmarkStart w:id="47" w:name="_Toc19138"/>
      <w:r>
        <w:rPr>
          <w:rFonts w:ascii="Times New Roman" w:hAnsi="Times New Roman" w:eastAsia="楷体_GB2312" w:cs="Times New Roman"/>
          <w:b w:val="0"/>
        </w:rPr>
        <w:t>（三）发展目标</w:t>
      </w:r>
      <w:bookmarkEnd w:id="44"/>
      <w:bookmarkEnd w:id="45"/>
      <w:bookmarkEnd w:id="46"/>
      <w:bookmarkEnd w:id="47"/>
    </w:p>
    <w:p>
      <w:pPr>
        <w:pStyle w:val="6"/>
        <w:widowControl/>
        <w:snapToGrid w:val="0"/>
        <w:spacing w:before="0" w:after="0" w:line="560" w:lineRule="exact"/>
        <w:ind w:firstLine="640" w:firstLineChars="200"/>
        <w:rPr>
          <w:rFonts w:eastAsia="仿宋_GB2312"/>
          <w:sz w:val="32"/>
          <w:szCs w:val="32"/>
        </w:rPr>
      </w:pPr>
      <w:r>
        <w:rPr>
          <w:rFonts w:eastAsia="仿宋_GB2312"/>
          <w:sz w:val="32"/>
          <w:szCs w:val="32"/>
        </w:rPr>
        <w:t>到2025年，习近平新时代中国特色社会主义思想深入人心，人民思想道德素质、科学文化素质和身心健康素质明显提高，社会更加文明和谐，人民精神文化生活更为丰富。</w:t>
      </w:r>
      <w:r>
        <w:rPr>
          <w:rFonts w:eastAsia="仿宋_GB2312"/>
          <w:bCs/>
          <w:sz w:val="32"/>
          <w:szCs w:val="32"/>
        </w:rPr>
        <w:t>新型主流融媒体及传播体系基本健全，思想文化阵地不断巩固，主流舆论影响力稳步扩大，全社会凝神聚气、团结奋进、敢于创新的文化氛围全面形成。中华</w:t>
      </w:r>
      <w:r>
        <w:rPr>
          <w:rFonts w:eastAsia="仿宋_GB2312"/>
          <w:sz w:val="32"/>
          <w:szCs w:val="32"/>
        </w:rPr>
        <w:t>优秀传统文化以及有鲜明太仓特色和深厚底蕴的娄东文化得到传承弘扬。文化艺</w:t>
      </w:r>
      <w:r>
        <w:rPr>
          <w:rFonts w:eastAsia="仿宋_GB2312"/>
          <w:bCs/>
          <w:sz w:val="32"/>
          <w:szCs w:val="32"/>
        </w:rPr>
        <w:t>术精品创作更加繁荣，“娄东文化”成为江南文化创造性转化创新性发展的重要内容。市、镇、村三级文化和体育公共服务网络建设更加完善，文化和体育公共服务实现城乡一体、均衡优质、高效便利。文化遗产保护利用水平显著提升，具有江南文化特色的非物质文化遗产保护传承富有成效。文化产业充分显示“太仓速度”，“倍增计划”基本实现，文化产业增加值占全市GDP比重达10%左右。</w:t>
      </w:r>
      <w:r>
        <w:rPr>
          <w:rFonts w:eastAsia="仿宋_GB2312"/>
          <w:sz w:val="32"/>
          <w:szCs w:val="32"/>
        </w:rPr>
        <w:t>体育强国战略目标和建设健康中国目标要求全面落实，太仓市民身体素质和健康水平持续提高，全民健身公共服务体系全面完善，竞技体育综合实力不断增强，体育产业规模持续扩大，青少年体育创新积极推动。</w:t>
      </w:r>
      <w:r>
        <w:rPr>
          <w:rFonts w:eastAsia="仿宋_GB2312"/>
          <w:bCs/>
          <w:sz w:val="32"/>
          <w:szCs w:val="32"/>
        </w:rPr>
        <w:t>在文化和体育领域争当沪</w:t>
      </w:r>
      <w:r>
        <w:rPr>
          <w:rFonts w:eastAsia="仿宋_GB2312"/>
          <w:sz w:val="32"/>
          <w:szCs w:val="32"/>
        </w:rPr>
        <w:t>苏同城“桥头堡”，助推“现代田园城、幸福金太仓”城市愿景的实现。</w:t>
      </w:r>
    </w:p>
    <w:p>
      <w:pPr>
        <w:pStyle w:val="4"/>
        <w:widowControl/>
        <w:snapToGrid w:val="0"/>
        <w:spacing w:line="560" w:lineRule="exact"/>
        <w:ind w:firstLine="640"/>
        <w:rPr>
          <w:rFonts w:ascii="Times New Roman" w:eastAsia="仿宋_GB2312"/>
          <w:snapToGrid/>
          <w:spacing w:val="0"/>
          <w:kern w:val="2"/>
          <w:szCs w:val="32"/>
        </w:rPr>
      </w:pPr>
      <w:r>
        <w:rPr>
          <w:rFonts w:ascii="Times New Roman" w:eastAsia="仿宋_GB2312"/>
          <w:snapToGrid/>
          <w:spacing w:val="0"/>
          <w:kern w:val="2"/>
          <w:szCs w:val="32"/>
        </w:rPr>
        <w:t>到2035年，习近平新时代中国特色社会主义思想成为全市党员干部和人民群众的精神支柱，市民思想道德水准、科学文化素养和身心健康素质达到新高度。文化和体育公共服务实现城乡一体、优质均衡、精准高效，文化产业成为全市国民经济和社会发展重要支柱产业</w:t>
      </w:r>
      <w:bookmarkStart w:id="48" w:name="_Toc14743"/>
      <w:bookmarkStart w:id="49" w:name="_Toc32244"/>
      <w:bookmarkStart w:id="50" w:name="_Toc3349"/>
      <w:bookmarkStart w:id="51" w:name="_Toc17252"/>
      <w:r>
        <w:rPr>
          <w:rFonts w:ascii="Times New Roman" w:eastAsia="仿宋_GB2312"/>
          <w:snapToGrid/>
          <w:spacing w:val="0"/>
          <w:kern w:val="2"/>
          <w:szCs w:val="32"/>
        </w:rPr>
        <w:t>，具有鲜明江南田园特色的社会主义现代化文化和体育强市全面建成，“现代田园城、幸福金太仓”的竞争力、吸引力、影响力全面增强。</w:t>
      </w:r>
    </w:p>
    <w:p>
      <w:pPr>
        <w:rPr>
          <w:rFonts w:ascii="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3604"/>
        <w:gridCol w:w="986"/>
        <w:gridCol w:w="1330"/>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770" w:type="dxa"/>
            <w:gridSpan w:val="5"/>
            <w:vAlign w:val="center"/>
          </w:tcPr>
          <w:p>
            <w:pPr>
              <w:pStyle w:val="6"/>
              <w:snapToGrid w:val="0"/>
              <w:spacing w:before="0" w:after="0" w:line="360" w:lineRule="exact"/>
              <w:ind w:firstLine="420" w:firstLineChars="200"/>
              <w:jc w:val="center"/>
              <w:rPr>
                <w:rFonts w:eastAsia="黑体"/>
                <w:bCs/>
                <w:sz w:val="21"/>
                <w:szCs w:val="21"/>
              </w:rPr>
            </w:pPr>
            <w:r>
              <w:rPr>
                <w:rFonts w:eastAsia="黑体"/>
                <w:bCs/>
                <w:sz w:val="21"/>
                <w:szCs w:val="21"/>
              </w:rPr>
              <w:t>专栏1  “十四五”时期文化和体育发展主要指标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类别</w:t>
            </w: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指标名称</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单位</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“十三五”期末（实际值）</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“十四五”规划目标值（预期性）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restart"/>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媒体</w:t>
            </w:r>
          </w:p>
          <w:p>
            <w:pPr>
              <w:pStyle w:val="6"/>
              <w:snapToGrid w:val="0"/>
              <w:spacing w:before="0" w:after="0" w:line="360" w:lineRule="exact"/>
              <w:jc w:val="center"/>
              <w:rPr>
                <w:rFonts w:eastAsia="仿宋_GB2312"/>
                <w:bCs/>
                <w:sz w:val="21"/>
                <w:szCs w:val="21"/>
              </w:rPr>
            </w:pPr>
            <w:r>
              <w:rPr>
                <w:rFonts w:eastAsia="仿宋_GB2312"/>
                <w:bCs/>
                <w:sz w:val="21"/>
                <w:szCs w:val="21"/>
              </w:rPr>
              <w:t>传播</w:t>
            </w: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人口综合覆盖率</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主流媒体传播品牌</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个</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 w:type="dxa"/>
            <w:vMerge w:val="restart"/>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文艺</w:t>
            </w:r>
          </w:p>
          <w:p>
            <w:pPr>
              <w:pStyle w:val="6"/>
              <w:snapToGrid w:val="0"/>
              <w:spacing w:before="0" w:after="0" w:line="360" w:lineRule="exact"/>
              <w:jc w:val="center"/>
              <w:rPr>
                <w:rFonts w:eastAsia="仿宋_GB2312"/>
                <w:bCs/>
                <w:sz w:val="21"/>
                <w:szCs w:val="21"/>
              </w:rPr>
            </w:pPr>
            <w:r>
              <w:rPr>
                <w:rFonts w:eastAsia="仿宋_GB2312"/>
                <w:bCs/>
                <w:sz w:val="21"/>
                <w:szCs w:val="21"/>
              </w:rPr>
              <w:t>创作</w:t>
            </w: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文艺精品数</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项</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600</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省级及以上奖项</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项</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5</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restart"/>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文化和体育公共服务</w:t>
            </w: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广播电视覆盖率</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99</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公共图书馆总分馆覆盖率</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100</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文化馆总分馆覆盖率</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100</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人均接受文化场馆服务次数</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人次</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4.8</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人均体育场地面积</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平方米</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4.6</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市民文体公共服务综合参与率</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80</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市民文体公共服务满意度</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90</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经常参加体育锻炼人数比例</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41.6</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94" w:type="dxa"/>
            <w:vMerge w:val="restart"/>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文化遗产保护利用</w:t>
            </w: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全国重点文物单位“三防工程”覆盖率</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江南文化品牌</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个</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restart"/>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文体</w:t>
            </w:r>
          </w:p>
          <w:p>
            <w:pPr>
              <w:pStyle w:val="6"/>
              <w:snapToGrid w:val="0"/>
              <w:spacing w:before="0" w:after="0" w:line="360" w:lineRule="exact"/>
              <w:jc w:val="center"/>
              <w:rPr>
                <w:rFonts w:eastAsia="仿宋_GB2312"/>
                <w:bCs/>
                <w:sz w:val="21"/>
                <w:szCs w:val="21"/>
              </w:rPr>
            </w:pPr>
            <w:r>
              <w:rPr>
                <w:rFonts w:eastAsia="仿宋_GB2312"/>
                <w:bCs/>
                <w:sz w:val="21"/>
                <w:szCs w:val="21"/>
              </w:rPr>
              <w:t>产业</w:t>
            </w: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文化产业增加值占GDP比重</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4.18</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规模以上文化企业</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家</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核心领域文体产业所占比重</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 w:type="dxa"/>
            <w:vMerge w:val="continue"/>
            <w:vAlign w:val="center"/>
          </w:tcPr>
          <w:p>
            <w:pPr>
              <w:pStyle w:val="6"/>
              <w:snapToGrid w:val="0"/>
              <w:spacing w:before="0" w:after="0" w:line="360" w:lineRule="exact"/>
              <w:ind w:firstLine="420" w:firstLineChars="200"/>
              <w:jc w:val="center"/>
              <w:rPr>
                <w:rFonts w:eastAsia="仿宋_GB2312"/>
                <w:bCs/>
                <w:sz w:val="21"/>
                <w:szCs w:val="21"/>
              </w:rPr>
            </w:pPr>
          </w:p>
        </w:tc>
        <w:tc>
          <w:tcPr>
            <w:tcW w:w="3732"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体育产业增加值占GDP比重</w:t>
            </w:r>
          </w:p>
        </w:tc>
        <w:tc>
          <w:tcPr>
            <w:tcW w:w="101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360"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w:t>
            </w:r>
          </w:p>
        </w:tc>
        <w:tc>
          <w:tcPr>
            <w:tcW w:w="1774" w:type="dxa"/>
            <w:vAlign w:val="center"/>
          </w:tcPr>
          <w:p>
            <w:pPr>
              <w:pStyle w:val="6"/>
              <w:snapToGrid w:val="0"/>
              <w:spacing w:before="0" w:after="0" w:line="360" w:lineRule="exact"/>
              <w:jc w:val="center"/>
              <w:rPr>
                <w:rFonts w:eastAsia="仿宋_GB2312"/>
                <w:bCs/>
                <w:sz w:val="21"/>
                <w:szCs w:val="21"/>
              </w:rPr>
            </w:pPr>
            <w:r>
              <w:rPr>
                <w:rFonts w:eastAsia="仿宋_GB2312"/>
                <w:bCs/>
                <w:sz w:val="21"/>
                <w:szCs w:val="21"/>
              </w:rPr>
              <w:t>2</w:t>
            </w:r>
          </w:p>
        </w:tc>
      </w:tr>
      <w:bookmarkEnd w:id="48"/>
      <w:bookmarkEnd w:id="49"/>
      <w:bookmarkEnd w:id="50"/>
      <w:bookmarkEnd w:id="51"/>
    </w:tbl>
    <w:p>
      <w:pPr>
        <w:pStyle w:val="2"/>
        <w:widowControl/>
        <w:spacing w:before="0" w:after="0" w:line="560" w:lineRule="exact"/>
        <w:ind w:firstLine="640" w:firstLineChars="200"/>
        <w:rPr>
          <w:rFonts w:ascii="Times New Roman" w:hAnsi="Times New Roman" w:eastAsia="黑体" w:cs="Times New Roman"/>
          <w:b w:val="0"/>
          <w:bCs w:val="0"/>
        </w:rPr>
      </w:pPr>
      <w:bookmarkStart w:id="52" w:name="_Toc14709"/>
      <w:bookmarkStart w:id="53" w:name="_Toc22140"/>
      <w:bookmarkStart w:id="54" w:name="_Toc30456"/>
      <w:bookmarkStart w:id="55" w:name="_Toc12975"/>
      <w:r>
        <w:rPr>
          <w:rFonts w:ascii="Times New Roman" w:hAnsi="Times New Roman" w:eastAsia="黑体" w:cs="Times New Roman"/>
          <w:b w:val="0"/>
          <w:bCs w:val="0"/>
        </w:rPr>
        <w:t>三、主要任务</w:t>
      </w:r>
    </w:p>
    <w:p>
      <w:pPr>
        <w:pStyle w:val="2"/>
        <w:widowControl/>
        <w:spacing w:before="0" w:after="0" w:line="560" w:lineRule="exact"/>
        <w:ind w:firstLine="640" w:firstLineChars="200"/>
        <w:rPr>
          <w:rFonts w:ascii="Times New Roman" w:hAnsi="Times New Roman" w:eastAsia="楷体_GB2312" w:cs="Times New Roman"/>
          <w:b w:val="0"/>
        </w:rPr>
      </w:pPr>
      <w:r>
        <w:rPr>
          <w:rFonts w:ascii="Times New Roman" w:hAnsi="Times New Roman" w:eastAsia="楷体_GB2312" w:cs="Times New Roman"/>
          <w:b w:val="0"/>
        </w:rPr>
        <w:t>（一）</w:t>
      </w:r>
      <w:bookmarkEnd w:id="52"/>
      <w:bookmarkEnd w:id="53"/>
      <w:bookmarkEnd w:id="54"/>
      <w:bookmarkEnd w:id="55"/>
      <w:bookmarkStart w:id="56" w:name="_Toc30190"/>
      <w:bookmarkStart w:id="57" w:name="_Toc6815"/>
      <w:bookmarkStart w:id="58" w:name="_Toc18927"/>
      <w:bookmarkStart w:id="59" w:name="_Toc25115"/>
      <w:r>
        <w:rPr>
          <w:rFonts w:ascii="Times New Roman" w:hAnsi="Times New Roman" w:eastAsia="楷体_GB2312" w:cs="Times New Roman"/>
          <w:b w:val="0"/>
        </w:rPr>
        <w:t>建设高素质现代化文明社会</w:t>
      </w:r>
    </w:p>
    <w:p>
      <w:pPr>
        <w:spacing w:line="560" w:lineRule="exact"/>
        <w:ind w:firstLine="643" w:firstLineChars="200"/>
        <w:rPr>
          <w:rFonts w:ascii="Times New Roman" w:eastAsia="仿宋_GB2312"/>
          <w:bCs/>
          <w:szCs w:val="32"/>
        </w:rPr>
      </w:pPr>
      <w:r>
        <w:rPr>
          <w:rStyle w:val="10"/>
          <w:rFonts w:ascii="Times New Roman" w:eastAsia="仿宋_GB2312"/>
          <w:bCs w:val="0"/>
        </w:rPr>
        <w:t>1. 加强意识形态引领</w:t>
      </w:r>
      <w:r>
        <w:rPr>
          <w:rStyle w:val="10"/>
          <w:rFonts w:ascii="Times New Roman" w:eastAsia="仿宋_GB2312"/>
          <w:b w:val="0"/>
        </w:rPr>
        <w:t>。坚持马克思主义在意识形态领域的指导地位，持续深入开展习近平新时代中国特色社会主义思想宣传教育，推动理想信念教育常态化、制度化，加强党史、新中国史、改革开放史、社会主义发展史教育，加强爱国主义、集体主义、社会主义教育。以社会主义核心价值观引领文化和体育发展，增强意识形态领域主导权，健全意识形态工作责任制落实机制</w:t>
      </w:r>
      <w:r>
        <w:rPr>
          <w:rFonts w:ascii="Times New Roman" w:eastAsia="仿宋_GB2312"/>
          <w:bCs/>
          <w:szCs w:val="32"/>
        </w:rPr>
        <w:t>。</w:t>
      </w:r>
    </w:p>
    <w:p>
      <w:pPr>
        <w:spacing w:line="560" w:lineRule="exact"/>
        <w:ind w:firstLine="643" w:firstLineChars="200"/>
        <w:rPr>
          <w:rFonts w:ascii="Times New Roman" w:eastAsia="仿宋_GB2312"/>
          <w:bCs/>
          <w:szCs w:val="32"/>
        </w:rPr>
      </w:pPr>
      <w:r>
        <w:rPr>
          <w:rStyle w:val="10"/>
          <w:rFonts w:ascii="Times New Roman" w:eastAsia="仿宋_GB2312"/>
          <w:bCs w:val="0"/>
        </w:rPr>
        <w:t>2. 树立高度的文化自信</w:t>
      </w:r>
      <w:r>
        <w:rPr>
          <w:rFonts w:ascii="Times New Roman" w:eastAsia="仿宋_GB2312"/>
          <w:bCs/>
          <w:szCs w:val="32"/>
        </w:rPr>
        <w:t>。坚定文化自信，坚持守正创新，</w:t>
      </w:r>
      <w:bookmarkEnd w:id="56"/>
      <w:bookmarkEnd w:id="57"/>
      <w:bookmarkEnd w:id="58"/>
      <w:bookmarkEnd w:id="59"/>
      <w:r>
        <w:rPr>
          <w:rFonts w:ascii="Times New Roman" w:eastAsia="仿宋_GB2312"/>
          <w:bCs/>
          <w:szCs w:val="32"/>
        </w:rPr>
        <w:t>加强中华优秀传统文化、江南文化、有深厚历史人文底蕴的太仓地方特色文化传承弘扬，</w:t>
      </w:r>
      <w:r>
        <w:rPr>
          <w:rFonts w:ascii="Times New Roman" w:eastAsia="仿宋_GB2312"/>
          <w:szCs w:val="32"/>
        </w:rPr>
        <w:t>推</w:t>
      </w:r>
      <w:r>
        <w:rPr>
          <w:rFonts w:ascii="Times New Roman" w:eastAsia="仿宋_GB2312"/>
          <w:bCs/>
          <w:szCs w:val="32"/>
        </w:rPr>
        <w:t>进“娄东文化精品出版工程”，汇聚、传承和弘扬地方优秀文化基因。培育和塑造体现太仓特质、彰显价值追求的城市精神，营造和构建既有历史人文根脉、又有鲜明时代特征和充沛活力的城市文化氛围，夯实高素质文明社会建设的思想文化基础。</w:t>
      </w:r>
    </w:p>
    <w:p>
      <w:pPr>
        <w:spacing w:line="560" w:lineRule="exact"/>
        <w:ind w:firstLine="643" w:firstLineChars="200"/>
        <w:rPr>
          <w:rFonts w:ascii="Times New Roman" w:eastAsia="仿宋_GB2312"/>
          <w:bCs/>
          <w:szCs w:val="32"/>
        </w:rPr>
      </w:pPr>
      <w:r>
        <w:rPr>
          <w:rFonts w:ascii="Times New Roman" w:eastAsia="仿宋_GB2312"/>
          <w:b/>
          <w:szCs w:val="32"/>
        </w:rPr>
        <w:t>3. 全面提高社会文明程度</w:t>
      </w:r>
      <w:r>
        <w:rPr>
          <w:rFonts w:ascii="Times New Roman" w:eastAsia="仿宋_GB2312"/>
          <w:bCs/>
          <w:szCs w:val="32"/>
        </w:rPr>
        <w:t>。加</w:t>
      </w:r>
      <w:r>
        <w:rPr>
          <w:rFonts w:ascii="Times New Roman" w:eastAsia="仿宋_GB2312"/>
          <w:szCs w:val="32"/>
        </w:rPr>
        <w:t>强社会主</w:t>
      </w:r>
      <w:r>
        <w:rPr>
          <w:rFonts w:ascii="Times New Roman" w:eastAsia="仿宋_GB2312"/>
          <w:bCs/>
          <w:szCs w:val="32"/>
        </w:rPr>
        <w:t>义精神文明建设，着力铸魂育人，全面提升全体人民群众精神文化素养，推动形成适应新时代要求的思想观念、精神面貌、文明风尚、道德品质和行为规范。持续深入实施公民道德建设工程，开展时代楷模、道德模范、最美人物、身边好人等推荐评选表彰、宣传学习和礼遇帮扶，营造崇敬模范、争当好人的良好社会风气。</w:t>
      </w:r>
    </w:p>
    <w:p>
      <w:pPr>
        <w:spacing w:line="560" w:lineRule="exact"/>
        <w:ind w:firstLine="643" w:firstLineChars="200"/>
        <w:rPr>
          <w:rFonts w:ascii="Times New Roman" w:eastAsia="仿宋_GB2312"/>
          <w:szCs w:val="32"/>
        </w:rPr>
      </w:pPr>
      <w:r>
        <w:rPr>
          <w:rFonts w:ascii="Times New Roman" w:eastAsia="仿宋_GB2312"/>
          <w:b/>
          <w:szCs w:val="32"/>
        </w:rPr>
        <w:t>4. 推动文明城市创建常态化</w:t>
      </w:r>
      <w:r>
        <w:rPr>
          <w:rFonts w:ascii="Times New Roman" w:eastAsia="仿宋_GB2312"/>
          <w:bCs/>
          <w:szCs w:val="32"/>
        </w:rPr>
        <w:t>。巩固全国文明城市创建成果，</w:t>
      </w:r>
      <w:r>
        <w:rPr>
          <w:rFonts w:ascii="Times New Roman" w:eastAsia="仿宋_GB2312"/>
          <w:szCs w:val="32"/>
        </w:rPr>
        <w:t>全面深化群众性精神文明创建活动，进一步完善创建测评、评选表彰、动态管理工作制度。着力推动文明城市创建成为全体市民的自觉行动。</w:t>
      </w:r>
    </w:p>
    <w:p>
      <w:pPr>
        <w:spacing w:line="560" w:lineRule="exact"/>
        <w:ind w:firstLine="643" w:firstLineChars="200"/>
        <w:rPr>
          <w:rFonts w:ascii="Times New Roman" w:eastAsia="仿宋_GB2312"/>
          <w:bCs/>
          <w:szCs w:val="32"/>
        </w:rPr>
      </w:pPr>
      <w:r>
        <w:rPr>
          <w:rFonts w:ascii="Times New Roman" w:eastAsia="仿宋_GB2312"/>
          <w:b/>
          <w:bCs/>
          <w:szCs w:val="32"/>
        </w:rPr>
        <w:t>5. 加强新时代文明实践中心建设</w:t>
      </w:r>
      <w:r>
        <w:rPr>
          <w:rFonts w:ascii="Times New Roman" w:eastAsia="仿宋_GB2312"/>
          <w:bCs/>
          <w:szCs w:val="32"/>
        </w:rPr>
        <w:t>。健全新时代文明实践组织体系和服务网络。深入开展弘扬时代新风行动和学雷锋志愿服务，健全志愿服务体系，广泛开展志愿服务关爱行动。建设诚信社会，弘扬诚信文化，健全诚信制度，构建覆盖全社会的诚信管理和服务体系。提倡艰苦奋斗、勤俭节约，扎实推进以劳动创造幸福为主题的宣传教育，弘扬奋斗精神、劳模精神和工匠精神。</w:t>
      </w:r>
    </w:p>
    <w:p>
      <w:pPr>
        <w:spacing w:line="560" w:lineRule="exact"/>
        <w:ind w:firstLine="643" w:firstLineChars="200"/>
        <w:rPr>
          <w:rFonts w:ascii="Times New Roman" w:eastAsia="仿宋_GB2312"/>
          <w:szCs w:val="32"/>
        </w:rPr>
      </w:pPr>
      <w:r>
        <w:rPr>
          <w:rFonts w:ascii="Times New Roman" w:eastAsia="仿宋_GB2312"/>
          <w:b/>
          <w:szCs w:val="32"/>
        </w:rPr>
        <w:t>6. 加强社会文化现代治理</w:t>
      </w:r>
      <w:r>
        <w:rPr>
          <w:rFonts w:ascii="Times New Roman" w:eastAsia="仿宋_GB2312"/>
          <w:bCs/>
          <w:szCs w:val="32"/>
        </w:rPr>
        <w:t>。加强民风家风学风建设。高度重视青少年理想信念教育，建立各部门齐抓共管、全社会协力共育机制。推动移风易俗，简办婚丧嫁娶，实施</w:t>
      </w:r>
      <w:r>
        <w:rPr>
          <w:rFonts w:ascii="Times New Roman" w:eastAsia="仿宋_GB2312"/>
          <w:szCs w:val="32"/>
        </w:rPr>
        <w:t>垃圾分类、文明餐桌，倡导低碳生活、绿色出行，践行健康文明生活。加强农村思想道德建设，运用积分制、道德评议会、红白理事会、村规民约等方式开展移风易俗、破除陈规</w:t>
      </w:r>
      <w:r>
        <w:rPr>
          <w:rFonts w:ascii="Times New Roman" w:eastAsia="仿宋_GB2312"/>
          <w:bCs/>
          <w:szCs w:val="32"/>
        </w:rPr>
        <w:t>陋习。加强科普宣传工作，提升公众科学文化素质。加强网络文明建设，发展积极</w:t>
      </w:r>
      <w:r>
        <w:rPr>
          <w:rFonts w:ascii="Times New Roman" w:eastAsia="仿宋_GB2312"/>
          <w:szCs w:val="32"/>
        </w:rPr>
        <w:t>健康的网络文化，增强网络管理动态适应能力，提高网络现代治理水平。</w:t>
      </w:r>
    </w:p>
    <w:p>
      <w:pPr>
        <w:spacing w:line="560" w:lineRule="exact"/>
        <w:ind w:firstLine="640" w:firstLineChars="200"/>
        <w:rPr>
          <w:rFonts w:ascii="Times New Roman" w:eastAsia="仿宋_GB231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28" w:type="dxa"/>
            <w:vAlign w:val="center"/>
          </w:tcPr>
          <w:p>
            <w:pPr>
              <w:pStyle w:val="2"/>
              <w:widowControl/>
              <w:spacing w:before="0" w:after="0" w:line="560" w:lineRule="exact"/>
              <w:jc w:val="center"/>
              <w:rPr>
                <w:rFonts w:ascii="Times New Roman" w:hAnsi="Times New Roman" w:eastAsia="黑体" w:cs="Times New Roman"/>
                <w:b w:val="0"/>
                <w:bCs w:val="0"/>
                <w:sz w:val="21"/>
                <w:szCs w:val="21"/>
              </w:rPr>
            </w:pPr>
            <w:r>
              <w:rPr>
                <w:rFonts w:ascii="Times New Roman" w:hAnsi="Times New Roman" w:eastAsia="黑体" w:cs="Times New Roman"/>
                <w:b w:val="0"/>
                <w:bCs w:val="0"/>
                <w:sz w:val="21"/>
                <w:szCs w:val="21"/>
              </w:rPr>
              <w:t>专栏2  高素质文明社会建设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8" w:type="dxa"/>
            <w:vAlign w:val="center"/>
          </w:tcPr>
          <w:p>
            <w:pPr>
              <w:pStyle w:val="6"/>
              <w:snapToGrid w:val="0"/>
              <w:spacing w:before="0" w:after="0" w:line="440" w:lineRule="exact"/>
              <w:ind w:firstLine="422" w:firstLineChars="200"/>
              <w:rPr>
                <w:rFonts w:eastAsia="仿宋_GB2312"/>
                <w:bCs/>
                <w:sz w:val="21"/>
                <w:szCs w:val="21"/>
              </w:rPr>
            </w:pPr>
            <w:r>
              <w:rPr>
                <w:rFonts w:eastAsia="仿宋_GB2312"/>
                <w:b/>
                <w:sz w:val="21"/>
                <w:szCs w:val="21"/>
              </w:rPr>
              <w:t>理想信念教育工程：</w:t>
            </w:r>
            <w:r>
              <w:rPr>
                <w:rFonts w:eastAsia="仿宋_GB2312"/>
                <w:bCs/>
                <w:sz w:val="21"/>
                <w:szCs w:val="21"/>
              </w:rPr>
              <w:t>开展习近平新时代中国特色社会主义思想宣传教育。加强理论学习和研究，建立理想信念教育常态化机制和制度。开展党史、新中国史、改革开放史、社会主义发展史教育，开展爱国主义、集体主义、社会主义教育。</w:t>
            </w:r>
          </w:p>
          <w:p>
            <w:pPr>
              <w:pStyle w:val="6"/>
              <w:snapToGrid w:val="0"/>
              <w:spacing w:before="0" w:after="0" w:line="440" w:lineRule="exact"/>
              <w:ind w:firstLine="422" w:firstLineChars="200"/>
              <w:rPr>
                <w:rFonts w:eastAsia="仿宋_GB2312"/>
                <w:bCs/>
                <w:sz w:val="21"/>
                <w:szCs w:val="21"/>
              </w:rPr>
            </w:pPr>
            <w:r>
              <w:rPr>
                <w:rFonts w:eastAsia="仿宋_GB2312"/>
                <w:b/>
                <w:sz w:val="21"/>
                <w:szCs w:val="21"/>
              </w:rPr>
              <w:t>文明创建工程：</w:t>
            </w:r>
            <w:r>
              <w:rPr>
                <w:rFonts w:eastAsia="仿宋_GB2312"/>
                <w:bCs/>
                <w:sz w:val="21"/>
                <w:szCs w:val="21"/>
              </w:rPr>
              <w:t>健全测评、评选表彰、动态管理常态化工作制度，推动全国文明城市创建常态化开展。深入推进文明单位、文明校园、文明村镇、文明社区、文明家庭等群众性精神文明创建活动。</w:t>
            </w:r>
          </w:p>
          <w:p>
            <w:pPr>
              <w:pStyle w:val="6"/>
              <w:snapToGrid w:val="0"/>
              <w:spacing w:before="0" w:after="0" w:line="440" w:lineRule="exact"/>
              <w:ind w:firstLine="422" w:firstLineChars="200"/>
              <w:rPr>
                <w:rFonts w:eastAsia="仿宋_GB2312"/>
                <w:bCs/>
                <w:sz w:val="21"/>
                <w:szCs w:val="21"/>
              </w:rPr>
            </w:pPr>
            <w:r>
              <w:rPr>
                <w:rFonts w:eastAsia="仿宋_GB2312"/>
                <w:b/>
                <w:sz w:val="21"/>
                <w:szCs w:val="21"/>
              </w:rPr>
              <w:t>江南文化建设工程</w:t>
            </w:r>
            <w:r>
              <w:rPr>
                <w:rFonts w:eastAsia="仿宋_GB2312"/>
                <w:bCs/>
                <w:sz w:val="21"/>
                <w:szCs w:val="21"/>
              </w:rPr>
              <w:t>：深入挖掘和研究太仓优秀传统历史文化资源及其现代价值，推动“娄东文化”创造性转化创新性发展，使之成为江南文化建设中的重要内容。</w:t>
            </w:r>
          </w:p>
          <w:p>
            <w:pPr>
              <w:pStyle w:val="6"/>
              <w:snapToGrid w:val="0"/>
              <w:spacing w:before="0" w:after="0" w:line="440" w:lineRule="exact"/>
              <w:ind w:firstLine="422" w:firstLineChars="200"/>
              <w:rPr>
                <w:rFonts w:eastAsia="仿宋_GB2312"/>
                <w:bCs/>
                <w:sz w:val="21"/>
                <w:szCs w:val="21"/>
              </w:rPr>
            </w:pPr>
            <w:r>
              <w:rPr>
                <w:rFonts w:eastAsia="仿宋_GB2312"/>
                <w:b/>
                <w:sz w:val="21"/>
                <w:szCs w:val="21"/>
              </w:rPr>
              <w:t>新时代文明实践中心建设工程</w:t>
            </w:r>
            <w:r>
              <w:rPr>
                <w:rFonts w:eastAsia="仿宋_GB2312"/>
                <w:bCs/>
                <w:sz w:val="21"/>
                <w:szCs w:val="21"/>
              </w:rPr>
              <w:t>：健全新时代文明实践组织体系和服务网络，整合资源、统筹力量，打通宣传、教育、服务群众“最后一公里”，构建面向全社会的理论宣讲、社会宣传、公民道德教育、文化服务、科普与普法、体育健身服务、文明乡风建设集成化、一站式综合服务平台。依托新时代文明实践中心建设，推进志愿服务制度化建设，注册志愿者占城镇人口比例达20%以上。</w:t>
            </w:r>
          </w:p>
        </w:tc>
      </w:tr>
    </w:tbl>
    <w:p>
      <w:pPr>
        <w:pStyle w:val="2"/>
        <w:widowControl/>
        <w:spacing w:before="0" w:after="0" w:line="560" w:lineRule="exact"/>
        <w:ind w:firstLine="640" w:firstLineChars="200"/>
        <w:rPr>
          <w:rFonts w:ascii="Times New Roman" w:hAnsi="Times New Roman" w:eastAsia="楷体_GB2312" w:cs="Times New Roman"/>
          <w:b w:val="0"/>
        </w:rPr>
      </w:pPr>
      <w:r>
        <w:rPr>
          <w:rFonts w:ascii="Times New Roman" w:hAnsi="Times New Roman" w:eastAsia="楷体_GB2312" w:cs="Times New Roman"/>
          <w:b w:val="0"/>
        </w:rPr>
        <w:t>（二）</w:t>
      </w:r>
      <w:bookmarkStart w:id="60" w:name="_Toc10660"/>
      <w:bookmarkStart w:id="61" w:name="_Toc8479"/>
      <w:bookmarkStart w:id="62" w:name="_Toc11723"/>
      <w:bookmarkStart w:id="63" w:name="_Toc19270"/>
      <w:r>
        <w:rPr>
          <w:rFonts w:ascii="Times New Roman" w:hAnsi="Times New Roman" w:eastAsia="楷体_GB2312" w:cs="Times New Roman"/>
          <w:b w:val="0"/>
        </w:rPr>
        <w:t>建强用好融媒体中心</w:t>
      </w:r>
    </w:p>
    <w:p>
      <w:pPr>
        <w:pStyle w:val="6"/>
        <w:widowControl/>
        <w:snapToGrid w:val="0"/>
        <w:spacing w:before="0" w:after="0" w:line="560" w:lineRule="exact"/>
        <w:ind w:firstLine="643" w:firstLineChars="200"/>
        <w:rPr>
          <w:rFonts w:eastAsia="仿宋_GB2312"/>
          <w:bCs/>
          <w:sz w:val="32"/>
          <w:szCs w:val="32"/>
        </w:rPr>
      </w:pPr>
      <w:r>
        <w:rPr>
          <w:rFonts w:eastAsia="仿宋_GB2312"/>
          <w:b/>
          <w:bCs/>
          <w:sz w:val="32"/>
          <w:szCs w:val="32"/>
        </w:rPr>
        <w:t>1. 构建完善的“四全媒体”体系</w:t>
      </w:r>
      <w:r>
        <w:rPr>
          <w:rFonts w:eastAsia="仿宋_GB2312"/>
          <w:sz w:val="32"/>
          <w:szCs w:val="32"/>
        </w:rPr>
        <w:t>。坚持正能量是总要求、管得住是硬道理、用得好是真本事，加快构建以内容建设为根本、</w:t>
      </w:r>
      <w:r>
        <w:rPr>
          <w:rFonts w:eastAsia="仿宋_GB2312"/>
          <w:bCs/>
          <w:sz w:val="32"/>
          <w:szCs w:val="32"/>
        </w:rPr>
        <w:t>先进技术为支撑、创新管理为保障的全媒体传播体系。以构建“四全媒体”为目标，深化内容和传播供给侧结构性改革，实施融媒体中心提质增效工程，创新内容生产服务管控一体化新型采编播控流程，推进高新格式互动视听产品研发和内容建设，打造以网格状、分布式、终端化、矩阵式存在的“智慧广电”，实现“全媒体汇聚、共平台生产、多平台发布”。</w:t>
      </w:r>
    </w:p>
    <w:p>
      <w:pPr>
        <w:pStyle w:val="6"/>
        <w:widowControl/>
        <w:snapToGrid w:val="0"/>
        <w:spacing w:before="0" w:after="0" w:line="560" w:lineRule="exact"/>
        <w:ind w:firstLine="643" w:firstLineChars="200"/>
        <w:rPr>
          <w:rFonts w:eastAsia="仿宋_GB2312"/>
          <w:bCs/>
          <w:sz w:val="32"/>
          <w:szCs w:val="32"/>
        </w:rPr>
      </w:pPr>
      <w:r>
        <w:rPr>
          <w:rFonts w:eastAsia="仿宋_GB2312"/>
          <w:b/>
          <w:sz w:val="32"/>
          <w:szCs w:val="32"/>
        </w:rPr>
        <w:t>2. 高度重视主流手机媒体建设</w:t>
      </w:r>
      <w:r>
        <w:rPr>
          <w:rFonts w:eastAsia="仿宋_GB2312"/>
          <w:bCs/>
          <w:sz w:val="32"/>
          <w:szCs w:val="32"/>
        </w:rPr>
        <w:t>。以手机移动客户端等新兴媒体为重点，结合新媒体用户大数据技术应用，精心组织重大主题宣传</w:t>
      </w:r>
      <w:r>
        <w:rPr>
          <w:rFonts w:eastAsia="仿宋_GB2312"/>
          <w:sz w:val="32"/>
          <w:szCs w:val="32"/>
        </w:rPr>
        <w:t>，坚持不懈、持之以恒提高主流媒体舆论引导力、传播公</w:t>
      </w:r>
      <w:r>
        <w:rPr>
          <w:rFonts w:eastAsia="仿宋_GB2312"/>
          <w:bCs/>
          <w:sz w:val="32"/>
          <w:szCs w:val="32"/>
        </w:rPr>
        <w:t>信力。推进与手机媒体相适应的内容产品生产机制创新，丰富产品和服务供给，紧密结合社会热点、大众需求，增加与移动、社交等受众习惯相适应的内容产品。</w:t>
      </w:r>
    </w:p>
    <w:p>
      <w:pPr>
        <w:pStyle w:val="6"/>
        <w:widowControl/>
        <w:snapToGrid w:val="0"/>
        <w:spacing w:before="0" w:after="0" w:line="560" w:lineRule="exact"/>
        <w:ind w:firstLine="643" w:firstLineChars="200"/>
        <w:rPr>
          <w:rFonts w:eastAsia="仿宋_GB2312"/>
          <w:sz w:val="32"/>
          <w:szCs w:val="32"/>
        </w:rPr>
      </w:pPr>
      <w:r>
        <w:rPr>
          <w:rFonts w:eastAsia="仿宋_GB2312"/>
          <w:b/>
          <w:sz w:val="32"/>
          <w:szCs w:val="32"/>
        </w:rPr>
        <w:t>3. 应用先进技术提高主流媒体传播能力</w:t>
      </w:r>
      <w:r>
        <w:rPr>
          <w:rFonts w:eastAsia="仿宋_GB2312"/>
          <w:bCs/>
          <w:sz w:val="32"/>
          <w:szCs w:val="32"/>
        </w:rPr>
        <w:t>。提高主流视听内容产品表达力、呈现力和吸引力，加强5G、4K/8K超高清、虚拟现实、增强现实、混合现实和流媒体等技术手段应用，加大视音频、短视频等移动端产品制播力度，支持互动、沉浸式、VR视频以及全景直播等5G高新内容制播。加强内容生产、存储、分发、审核全链条人工智能技术应用，稳步拓展多媒体形态、多信息服务、多网络传播、多终端展现的智慧化全业务服务，拓展“智慧广电+政务服务商务”新空间，逐步建立以用户为中心的“随需而变”传播方式和业</w:t>
      </w:r>
      <w:r>
        <w:rPr>
          <w:rFonts w:eastAsia="仿宋_GB2312"/>
          <w:sz w:val="32"/>
          <w:szCs w:val="32"/>
        </w:rPr>
        <w:t>态。</w:t>
      </w:r>
      <w:bookmarkEnd w:id="60"/>
      <w:bookmarkEnd w:id="61"/>
      <w:bookmarkEnd w:id="62"/>
      <w:bookmarkEnd w:id="63"/>
    </w:p>
    <w:p>
      <w:pPr>
        <w:rPr>
          <w:rFonts w:ascii="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pStyle w:val="2"/>
              <w:widowControl/>
              <w:spacing w:before="0" w:after="0" w:line="440" w:lineRule="exact"/>
              <w:jc w:val="center"/>
              <w:rPr>
                <w:rFonts w:ascii="Times New Roman" w:hAnsi="Times New Roman" w:eastAsia="黑体" w:cs="Times New Roman"/>
                <w:b w:val="0"/>
                <w:bCs w:val="0"/>
                <w:sz w:val="21"/>
                <w:szCs w:val="21"/>
              </w:rPr>
            </w:pPr>
            <w:r>
              <w:rPr>
                <w:rFonts w:ascii="Times New Roman" w:hAnsi="Times New Roman" w:eastAsia="黑体" w:cs="Times New Roman"/>
                <w:b w:val="0"/>
                <w:bCs w:val="0"/>
                <w:sz w:val="21"/>
                <w:szCs w:val="21"/>
              </w:rPr>
              <w:t>专栏3  融媒体中心建设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center"/>
          </w:tcPr>
          <w:p>
            <w:pPr>
              <w:pStyle w:val="6"/>
              <w:snapToGrid w:val="0"/>
              <w:spacing w:before="0" w:after="0" w:line="440" w:lineRule="exact"/>
              <w:ind w:firstLine="422" w:firstLineChars="200"/>
              <w:rPr>
                <w:rFonts w:eastAsia="仿宋_GB2312"/>
                <w:bCs/>
                <w:sz w:val="21"/>
                <w:szCs w:val="21"/>
              </w:rPr>
            </w:pPr>
            <w:r>
              <w:rPr>
                <w:rFonts w:eastAsia="仿宋_GB2312"/>
                <w:b/>
                <w:sz w:val="21"/>
                <w:szCs w:val="21"/>
              </w:rPr>
              <w:t>“四全媒体”传播体系建设工程</w:t>
            </w:r>
            <w:r>
              <w:rPr>
                <w:rFonts w:eastAsia="仿宋_GB2312"/>
                <w:bCs/>
                <w:sz w:val="21"/>
                <w:szCs w:val="21"/>
              </w:rPr>
              <w:t>：坚持正能量是总要求、管得住是硬道理、用得好是真本事，加强5G技术应用，建设以内容为核心、以技术为支撑、以管理为保障的“四全媒体”传播体系，全面提升融媒体中心建设水平。</w:t>
            </w:r>
          </w:p>
          <w:p>
            <w:pPr>
              <w:pStyle w:val="6"/>
              <w:snapToGrid w:val="0"/>
              <w:spacing w:before="0" w:after="0" w:line="440" w:lineRule="exact"/>
              <w:ind w:firstLine="422" w:firstLineChars="200"/>
              <w:rPr>
                <w:rFonts w:eastAsia="仿宋_GB2312"/>
                <w:bCs/>
                <w:sz w:val="21"/>
                <w:szCs w:val="21"/>
              </w:rPr>
            </w:pPr>
            <w:r>
              <w:rPr>
                <w:rFonts w:eastAsia="仿宋_GB2312"/>
                <w:b/>
                <w:sz w:val="21"/>
                <w:szCs w:val="21"/>
              </w:rPr>
              <w:t>新媒体传播拓展工程</w:t>
            </w:r>
            <w:r>
              <w:rPr>
                <w:rFonts w:eastAsia="仿宋_GB2312"/>
                <w:bCs/>
                <w:sz w:val="21"/>
                <w:szCs w:val="21"/>
              </w:rPr>
              <w:t>：加强数字广播、移动电视、手机移动客户端等新型主流媒体建设，推出短视频、移动直播、H5、VR、AR等原创精品融媒体产品。</w:t>
            </w:r>
          </w:p>
          <w:p>
            <w:pPr>
              <w:pStyle w:val="6"/>
              <w:snapToGrid w:val="0"/>
              <w:spacing w:before="0" w:after="0" w:line="440" w:lineRule="exact"/>
              <w:ind w:firstLine="422" w:firstLineChars="200"/>
              <w:rPr>
                <w:rFonts w:eastAsia="仿宋_GB2312"/>
                <w:bCs/>
                <w:sz w:val="21"/>
                <w:szCs w:val="21"/>
              </w:rPr>
            </w:pPr>
            <w:r>
              <w:rPr>
                <w:rFonts w:eastAsia="仿宋_GB2312"/>
                <w:b/>
                <w:sz w:val="21"/>
                <w:szCs w:val="21"/>
              </w:rPr>
              <w:t>“智慧广电+政务服务商务”建设</w:t>
            </w:r>
            <w:r>
              <w:rPr>
                <w:rFonts w:eastAsia="仿宋_GB2312"/>
                <w:b/>
                <w:sz w:val="21"/>
                <w:szCs w:val="21"/>
                <w:lang w:val="zh-CN"/>
              </w:rPr>
              <w:t>工程</w:t>
            </w:r>
            <w:r>
              <w:rPr>
                <w:rFonts w:eastAsia="仿宋_GB2312"/>
                <w:bCs/>
                <w:sz w:val="21"/>
                <w:szCs w:val="21"/>
                <w:lang w:val="zh-CN"/>
              </w:rPr>
              <w:t>：</w:t>
            </w:r>
            <w:r>
              <w:rPr>
                <w:rFonts w:eastAsia="仿宋_GB2312"/>
                <w:bCs/>
                <w:sz w:val="21"/>
                <w:szCs w:val="21"/>
              </w:rPr>
              <w:t>稳步实施“智慧广电+政务服务商务”，建构多媒体形态、多信息服务、多网络传播、多终端展现智慧化全业务服务新模式，拓展主流媒体发展新空间新业态。</w:t>
            </w:r>
          </w:p>
        </w:tc>
      </w:tr>
    </w:tbl>
    <w:p>
      <w:pPr>
        <w:pStyle w:val="2"/>
        <w:widowControl/>
        <w:spacing w:before="0" w:after="0" w:line="600" w:lineRule="exact"/>
        <w:ind w:firstLine="640" w:firstLineChars="200"/>
        <w:rPr>
          <w:rFonts w:ascii="Times New Roman" w:hAnsi="Times New Roman" w:eastAsia="楷体_GB2312" w:cs="Times New Roman"/>
          <w:b w:val="0"/>
        </w:rPr>
      </w:pPr>
      <w:bookmarkStart w:id="64" w:name="_Toc30703"/>
      <w:bookmarkStart w:id="65" w:name="_Toc27631"/>
      <w:bookmarkStart w:id="66" w:name="_Toc30288"/>
      <w:bookmarkStart w:id="67" w:name="_Toc18972"/>
      <w:r>
        <w:rPr>
          <w:rFonts w:ascii="Times New Roman" w:hAnsi="Times New Roman" w:eastAsia="楷体_GB2312" w:cs="Times New Roman"/>
          <w:b w:val="0"/>
        </w:rPr>
        <w:t>（三）繁荣文艺精品创作</w:t>
      </w:r>
      <w:bookmarkEnd w:id="64"/>
      <w:bookmarkEnd w:id="65"/>
      <w:bookmarkEnd w:id="66"/>
      <w:bookmarkEnd w:id="67"/>
      <w:bookmarkStart w:id="68" w:name="_Toc17661"/>
    </w:p>
    <w:p>
      <w:pPr>
        <w:adjustRightInd w:val="0"/>
        <w:spacing w:line="600" w:lineRule="exact"/>
        <w:ind w:firstLine="643" w:firstLineChars="200"/>
        <w:rPr>
          <w:rFonts w:ascii="Times New Roman" w:eastAsia="仿宋_GB2312"/>
          <w:bCs/>
          <w:szCs w:val="32"/>
        </w:rPr>
      </w:pPr>
      <w:r>
        <w:rPr>
          <w:rStyle w:val="10"/>
          <w:rFonts w:ascii="Times New Roman" w:eastAsia="仿宋_GB2312"/>
          <w:bCs w:val="0"/>
        </w:rPr>
        <w:t>1. 坚持以人民为中心的创作导向</w:t>
      </w:r>
      <w:r>
        <w:rPr>
          <w:rStyle w:val="10"/>
          <w:rFonts w:ascii="Times New Roman" w:eastAsia="仿宋_GB2312"/>
          <w:b w:val="0"/>
        </w:rPr>
        <w:t>。高度聚焦文艺精品创作生产</w:t>
      </w:r>
      <w:r>
        <w:rPr>
          <w:rFonts w:ascii="Times New Roman" w:eastAsia="仿宋_GB2312"/>
          <w:szCs w:val="32"/>
        </w:rPr>
        <w:t>，把“立足高原、勇攀高峰”作为文艺工作重心，全力推出一批思想精深、艺术精湛、制作精良，人民群众“叫好又叫座”的新时代文艺精品。</w:t>
      </w:r>
      <w:bookmarkEnd w:id="68"/>
      <w:r>
        <w:rPr>
          <w:rFonts w:ascii="Times New Roman" w:eastAsia="仿宋_GB2312"/>
          <w:szCs w:val="32"/>
        </w:rPr>
        <w:t>重点抓好反映时代新气象、讴歌人民新</w:t>
      </w:r>
      <w:r>
        <w:rPr>
          <w:rFonts w:ascii="Times New Roman" w:eastAsia="仿宋_GB2312"/>
          <w:bCs/>
          <w:szCs w:val="32"/>
        </w:rPr>
        <w:t>创造的现实题材文艺创作，深入推进百姓视角、民生题材文艺创作，积极探索具有太仓历史人文底蕴的江南文化题材文艺创作。</w:t>
      </w:r>
      <w:bookmarkStart w:id="69" w:name="_Toc4518"/>
      <w:bookmarkStart w:id="70" w:name="_Toc7615"/>
      <w:bookmarkStart w:id="71" w:name="_Toc1352"/>
    </w:p>
    <w:p>
      <w:pPr>
        <w:adjustRightInd w:val="0"/>
        <w:spacing w:line="600" w:lineRule="exact"/>
        <w:ind w:firstLine="643" w:firstLineChars="200"/>
        <w:rPr>
          <w:rFonts w:ascii="Times New Roman" w:eastAsia="仿宋_GB2312"/>
          <w:szCs w:val="32"/>
        </w:rPr>
      </w:pPr>
      <w:r>
        <w:rPr>
          <w:rFonts w:ascii="Times New Roman" w:eastAsia="仿宋_GB2312"/>
          <w:b/>
          <w:szCs w:val="32"/>
        </w:rPr>
        <w:t>2. 改进和创新文艺精品创作机</w:t>
      </w:r>
      <w:bookmarkEnd w:id="69"/>
      <w:bookmarkEnd w:id="70"/>
      <w:bookmarkEnd w:id="71"/>
      <w:r>
        <w:rPr>
          <w:rFonts w:ascii="Times New Roman" w:eastAsia="仿宋_GB2312"/>
          <w:b/>
          <w:szCs w:val="32"/>
        </w:rPr>
        <w:t>制</w:t>
      </w:r>
      <w:r>
        <w:rPr>
          <w:rFonts w:ascii="Times New Roman" w:eastAsia="仿宋_GB2312"/>
          <w:bCs/>
          <w:szCs w:val="32"/>
        </w:rPr>
        <w:t>。完善文艺精品创作资助、支撑体系，增强全市文艺</w:t>
      </w:r>
      <w:r>
        <w:rPr>
          <w:rFonts w:ascii="Times New Roman" w:eastAsia="仿宋_GB2312"/>
          <w:szCs w:val="32"/>
        </w:rPr>
        <w:t>工作者创造创作内生动力，支持优秀文艺人才和精品脱颖而出。优化创作规划机制和项目库管理，健全年度选题、项目签约、利益共享机制和制度，吸引市内外文艺人才参与。牢牢把握打造沪苏同城“桥头堡”发展机遇，围绕文艺精品创作精心设计重大项目和合作方式，面向上海聚才引能。</w:t>
      </w:r>
    </w:p>
    <w:p>
      <w:pPr>
        <w:adjustRightInd w:val="0"/>
        <w:spacing w:line="600" w:lineRule="exact"/>
        <w:ind w:firstLine="643" w:firstLineChars="200"/>
        <w:rPr>
          <w:rFonts w:ascii="Times New Roman" w:eastAsia="仿宋_GB2312"/>
          <w:bCs/>
          <w:szCs w:val="32"/>
        </w:rPr>
      </w:pPr>
      <w:r>
        <w:rPr>
          <w:rFonts w:ascii="Times New Roman" w:eastAsia="仿宋_GB2312"/>
          <w:b/>
          <w:bCs/>
          <w:szCs w:val="32"/>
        </w:rPr>
        <w:t>3. 实施文艺高峰攀登工程</w:t>
      </w:r>
      <w:r>
        <w:rPr>
          <w:rFonts w:ascii="Times New Roman" w:eastAsia="仿宋_GB2312"/>
          <w:szCs w:val="32"/>
        </w:rPr>
        <w:t>。重点围绕党的二十大等重要时间节点，聚焦支持舞台艺术精品、美术精品、有深厚太仓历史人文底蕴的江南文化出版物精品、广播电视和网络视听精品创作生产，逐步强</w:t>
      </w:r>
      <w:r>
        <w:rPr>
          <w:rFonts w:ascii="Times New Roman" w:eastAsia="仿宋_GB2312"/>
          <w:bCs/>
          <w:szCs w:val="32"/>
        </w:rPr>
        <w:t>化具有江南特色、太仓特点的舞台艺术、美术、广播、出版等优势门类。赓续“娄东画派”优秀文化传统，借力“丝竹之乡”、“舞蹈之乡”建设，推动太仓音乐、舞蹈、书画、戏曲精品创作不断取得突破，着力打造江南文化艺术强市品牌。</w:t>
      </w:r>
    </w:p>
    <w:tbl>
      <w:tblPr>
        <w:tblStyle w:val="8"/>
        <w:tblpPr w:leftFromText="180" w:rightFromText="180" w:vertAnchor="text" w:horzAnchor="page" w:tblpXSpec="center" w:tblpY="543"/>
        <w:tblOverlap w:val="never"/>
        <w:tblW w:w="8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4" w:type="dxa"/>
            <w:tcBorders>
              <w:top w:val="single" w:color="auto" w:sz="4" w:space="0"/>
              <w:left w:val="single" w:color="auto" w:sz="4" w:space="0"/>
              <w:bottom w:val="single" w:color="auto" w:sz="4" w:space="0"/>
              <w:right w:val="single" w:color="auto" w:sz="4" w:space="0"/>
            </w:tcBorders>
            <w:vAlign w:val="center"/>
          </w:tcPr>
          <w:p>
            <w:pPr>
              <w:pStyle w:val="4"/>
              <w:widowControl/>
              <w:snapToGrid w:val="0"/>
              <w:spacing w:line="420" w:lineRule="exact"/>
              <w:jc w:val="center"/>
              <w:rPr>
                <w:rFonts w:ascii="Times New Roman" w:eastAsia="黑体"/>
                <w:bCs/>
                <w:spacing w:val="0"/>
                <w:sz w:val="21"/>
                <w:szCs w:val="21"/>
              </w:rPr>
            </w:pPr>
            <w:r>
              <w:rPr>
                <w:rFonts w:ascii="Times New Roman" w:eastAsia="黑体"/>
                <w:bCs/>
                <w:spacing w:val="0"/>
                <w:sz w:val="21"/>
                <w:szCs w:val="21"/>
              </w:rPr>
              <w:t>专栏4  文艺精品创作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420" w:lineRule="exact"/>
              <w:ind w:firstLine="422" w:firstLineChars="200"/>
              <w:rPr>
                <w:rFonts w:eastAsia="仿宋_GB2312"/>
                <w:bCs/>
                <w:sz w:val="21"/>
                <w:szCs w:val="21"/>
                <w:lang w:val="zh-CN"/>
              </w:rPr>
            </w:pPr>
            <w:r>
              <w:rPr>
                <w:rFonts w:eastAsia="仿宋_GB2312"/>
                <w:b/>
                <w:sz w:val="21"/>
                <w:szCs w:val="21"/>
                <w:lang w:val="zh-CN"/>
              </w:rPr>
              <w:t>舞台艺术精品</w:t>
            </w:r>
            <w:r>
              <w:rPr>
                <w:rFonts w:eastAsia="仿宋_GB2312"/>
                <w:b/>
                <w:sz w:val="21"/>
                <w:szCs w:val="21"/>
              </w:rPr>
              <w:t>创作</w:t>
            </w:r>
            <w:r>
              <w:rPr>
                <w:rFonts w:eastAsia="仿宋_GB2312"/>
                <w:b/>
                <w:sz w:val="21"/>
                <w:szCs w:val="21"/>
                <w:lang w:val="zh-CN"/>
              </w:rPr>
              <w:t>工程</w:t>
            </w:r>
            <w:r>
              <w:rPr>
                <w:rFonts w:eastAsia="仿宋_GB2312"/>
                <w:bCs/>
                <w:sz w:val="21"/>
                <w:szCs w:val="21"/>
                <w:lang w:val="zh-CN"/>
              </w:rPr>
              <w:t>：重点</w:t>
            </w:r>
            <w:r>
              <w:rPr>
                <w:rFonts w:eastAsia="仿宋_GB2312"/>
                <w:bCs/>
                <w:sz w:val="21"/>
                <w:szCs w:val="21"/>
              </w:rPr>
              <w:t>扶持市级文化艺术机构，</w:t>
            </w:r>
            <w:r>
              <w:rPr>
                <w:rFonts w:eastAsia="仿宋_GB2312"/>
                <w:bCs/>
                <w:sz w:val="21"/>
                <w:szCs w:val="21"/>
                <w:lang w:val="zh-CN"/>
              </w:rPr>
              <w:t>打造</w:t>
            </w:r>
            <w:r>
              <w:rPr>
                <w:rFonts w:eastAsia="仿宋_GB2312"/>
                <w:bCs/>
                <w:sz w:val="21"/>
                <w:szCs w:val="21"/>
              </w:rPr>
              <w:t>3</w:t>
            </w:r>
            <w:r>
              <w:rPr>
                <w:rFonts w:eastAsia="仿宋_GB2312"/>
                <w:bCs/>
                <w:sz w:val="21"/>
                <w:szCs w:val="21"/>
                <w:lang w:val="zh-CN"/>
              </w:rPr>
              <w:t>~5部思想精神、艺术精湛、制作精良的</w:t>
            </w:r>
            <w:r>
              <w:rPr>
                <w:rFonts w:eastAsia="仿宋_GB2312"/>
                <w:bCs/>
                <w:sz w:val="21"/>
                <w:szCs w:val="21"/>
              </w:rPr>
              <w:t>舞台艺术</w:t>
            </w:r>
            <w:r>
              <w:rPr>
                <w:rFonts w:eastAsia="仿宋_GB2312"/>
                <w:bCs/>
                <w:sz w:val="21"/>
                <w:szCs w:val="21"/>
                <w:lang w:val="zh-CN"/>
              </w:rPr>
              <w:t>精品剧目，</w:t>
            </w:r>
            <w:r>
              <w:rPr>
                <w:rFonts w:eastAsia="仿宋_GB2312"/>
                <w:bCs/>
                <w:sz w:val="21"/>
                <w:szCs w:val="21"/>
              </w:rPr>
              <w:t>通过政府购买、社会参与等方式，鼓励各镇（区、街道）</w:t>
            </w:r>
            <w:r>
              <w:rPr>
                <w:rFonts w:eastAsia="仿宋_GB2312"/>
                <w:bCs/>
                <w:sz w:val="21"/>
                <w:szCs w:val="21"/>
                <w:lang w:val="zh-CN"/>
              </w:rPr>
              <w:t>发挥各</w:t>
            </w:r>
            <w:r>
              <w:rPr>
                <w:rFonts w:eastAsia="仿宋_GB2312"/>
                <w:bCs/>
                <w:sz w:val="21"/>
                <w:szCs w:val="21"/>
              </w:rPr>
              <w:t>自</w:t>
            </w:r>
            <w:r>
              <w:rPr>
                <w:rFonts w:eastAsia="仿宋_GB2312"/>
                <w:bCs/>
                <w:sz w:val="21"/>
                <w:szCs w:val="21"/>
                <w:lang w:val="zh-CN"/>
              </w:rPr>
              <w:t>特色，</w:t>
            </w:r>
            <w:r>
              <w:rPr>
                <w:rFonts w:eastAsia="仿宋_GB2312"/>
                <w:bCs/>
                <w:sz w:val="21"/>
                <w:szCs w:val="21"/>
              </w:rPr>
              <w:t>创作</w:t>
            </w:r>
            <w:r>
              <w:rPr>
                <w:rFonts w:eastAsia="仿宋_GB2312"/>
                <w:bCs/>
                <w:sz w:val="21"/>
                <w:szCs w:val="21"/>
                <w:lang w:val="zh-CN"/>
              </w:rPr>
              <w:t>群众喜闻乐见的</w:t>
            </w:r>
            <w:r>
              <w:rPr>
                <w:rFonts w:eastAsia="仿宋_GB2312"/>
                <w:bCs/>
                <w:sz w:val="21"/>
                <w:szCs w:val="21"/>
              </w:rPr>
              <w:t>舞台艺术精品</w:t>
            </w:r>
            <w:r>
              <w:rPr>
                <w:rFonts w:eastAsia="仿宋_GB2312"/>
                <w:bCs/>
                <w:sz w:val="21"/>
                <w:szCs w:val="21"/>
                <w:lang w:val="zh-CN"/>
              </w:rPr>
              <w:t>。</w:t>
            </w:r>
          </w:p>
          <w:p>
            <w:pPr>
              <w:pStyle w:val="6"/>
              <w:snapToGrid w:val="0"/>
              <w:spacing w:before="0" w:after="0" w:line="420" w:lineRule="exact"/>
              <w:ind w:firstLine="422" w:firstLineChars="200"/>
              <w:rPr>
                <w:rFonts w:eastAsia="仿宋_GB2312"/>
                <w:bCs/>
                <w:sz w:val="21"/>
                <w:szCs w:val="21"/>
                <w:lang w:val="zh-CN"/>
              </w:rPr>
            </w:pPr>
            <w:r>
              <w:rPr>
                <w:rFonts w:eastAsia="仿宋_GB2312"/>
                <w:b/>
                <w:sz w:val="21"/>
                <w:szCs w:val="21"/>
                <w:lang w:val="zh-CN"/>
              </w:rPr>
              <w:t>太仓</w:t>
            </w:r>
            <w:r>
              <w:rPr>
                <w:rFonts w:eastAsia="仿宋_GB2312"/>
                <w:b/>
                <w:sz w:val="21"/>
                <w:szCs w:val="21"/>
              </w:rPr>
              <w:t>优秀</w:t>
            </w:r>
            <w:r>
              <w:rPr>
                <w:rFonts w:eastAsia="仿宋_GB2312"/>
                <w:b/>
                <w:sz w:val="21"/>
                <w:szCs w:val="21"/>
                <w:lang w:val="zh-CN"/>
              </w:rPr>
              <w:t>传统</w:t>
            </w:r>
            <w:r>
              <w:rPr>
                <w:rFonts w:eastAsia="仿宋_GB2312"/>
                <w:b/>
                <w:sz w:val="21"/>
                <w:szCs w:val="21"/>
              </w:rPr>
              <w:t>艺术振兴</w:t>
            </w:r>
            <w:r>
              <w:rPr>
                <w:rFonts w:eastAsia="仿宋_GB2312"/>
                <w:b/>
                <w:sz w:val="21"/>
                <w:szCs w:val="21"/>
                <w:lang w:val="zh-CN"/>
              </w:rPr>
              <w:t>工程</w:t>
            </w:r>
            <w:r>
              <w:rPr>
                <w:rFonts w:eastAsia="仿宋_GB2312"/>
                <w:bCs/>
                <w:sz w:val="21"/>
                <w:szCs w:val="21"/>
                <w:lang w:val="zh-CN"/>
              </w:rPr>
              <w:t>：</w:t>
            </w:r>
            <w:r>
              <w:rPr>
                <w:rFonts w:eastAsia="仿宋_GB2312"/>
                <w:bCs/>
                <w:sz w:val="21"/>
                <w:szCs w:val="21"/>
              </w:rPr>
              <w:t>加强“娄东画派”研究传承，深入挖掘现代价值，推动创造性转化创新性发展。努力振兴江南丝竹</w:t>
            </w:r>
            <w:r>
              <w:rPr>
                <w:rFonts w:eastAsia="仿宋_GB2312"/>
                <w:bCs/>
                <w:sz w:val="21"/>
                <w:szCs w:val="21"/>
                <w:lang w:val="zh-CN"/>
              </w:rPr>
              <w:t>、</w:t>
            </w:r>
            <w:r>
              <w:rPr>
                <w:rFonts w:eastAsia="仿宋_GB2312"/>
                <w:bCs/>
                <w:sz w:val="21"/>
                <w:szCs w:val="21"/>
              </w:rPr>
              <w:t>昆曲、古琴、滚灯、民歌</w:t>
            </w:r>
            <w:r>
              <w:rPr>
                <w:rFonts w:eastAsia="仿宋_GB2312"/>
                <w:bCs/>
                <w:sz w:val="21"/>
                <w:szCs w:val="21"/>
                <w:lang w:val="zh-CN"/>
              </w:rPr>
              <w:t>等，全面提高太仓</w:t>
            </w:r>
            <w:r>
              <w:rPr>
                <w:rFonts w:eastAsia="仿宋_GB2312"/>
                <w:bCs/>
                <w:sz w:val="21"/>
                <w:szCs w:val="21"/>
              </w:rPr>
              <w:t>传统特色艺术</w:t>
            </w:r>
            <w:r>
              <w:rPr>
                <w:rFonts w:eastAsia="仿宋_GB2312"/>
                <w:bCs/>
                <w:sz w:val="21"/>
                <w:szCs w:val="21"/>
                <w:lang w:val="zh-CN"/>
              </w:rPr>
              <w:t>传承发展水平。</w:t>
            </w:r>
          </w:p>
          <w:p>
            <w:pPr>
              <w:pStyle w:val="6"/>
              <w:snapToGrid w:val="0"/>
              <w:spacing w:before="0" w:after="0" w:line="420" w:lineRule="exact"/>
              <w:ind w:firstLine="422" w:firstLineChars="200"/>
              <w:rPr>
                <w:rFonts w:eastAsia="仿宋_GB2312"/>
                <w:bCs/>
                <w:sz w:val="21"/>
                <w:szCs w:val="21"/>
              </w:rPr>
            </w:pPr>
            <w:r>
              <w:rPr>
                <w:rFonts w:eastAsia="仿宋_GB2312"/>
                <w:b/>
                <w:sz w:val="21"/>
                <w:szCs w:val="21"/>
                <w:lang w:val="zh-CN"/>
              </w:rPr>
              <w:t>太仓</w:t>
            </w:r>
            <w:r>
              <w:rPr>
                <w:rFonts w:eastAsia="仿宋_GB2312"/>
                <w:b/>
                <w:sz w:val="21"/>
                <w:szCs w:val="21"/>
              </w:rPr>
              <w:t>历史人文研究工</w:t>
            </w:r>
            <w:r>
              <w:rPr>
                <w:rFonts w:eastAsia="仿宋_GB2312"/>
                <w:b/>
                <w:sz w:val="21"/>
                <w:szCs w:val="21"/>
                <w:lang w:val="zh-CN"/>
              </w:rPr>
              <w:t>程</w:t>
            </w:r>
            <w:r>
              <w:rPr>
                <w:rFonts w:eastAsia="仿宋_GB2312"/>
                <w:bCs/>
                <w:sz w:val="21"/>
                <w:szCs w:val="21"/>
                <w:lang w:val="zh-CN"/>
              </w:rPr>
              <w:t>：</w:t>
            </w:r>
            <w:r>
              <w:rPr>
                <w:rFonts w:eastAsia="仿宋_GB2312"/>
                <w:bCs/>
                <w:sz w:val="21"/>
                <w:szCs w:val="21"/>
              </w:rPr>
              <w:t>大力推进太仓历史人文研究工作，组织编撰</w:t>
            </w:r>
            <w:r>
              <w:rPr>
                <w:rFonts w:eastAsia="仿宋_GB2312"/>
                <w:bCs/>
                <w:sz w:val="21"/>
                <w:szCs w:val="21"/>
                <w:lang w:val="zh-CN"/>
              </w:rPr>
              <w:t>《娄东文库》，</w:t>
            </w:r>
            <w:r>
              <w:rPr>
                <w:rFonts w:eastAsia="仿宋_GB2312"/>
                <w:bCs/>
                <w:sz w:val="21"/>
                <w:szCs w:val="21"/>
              </w:rPr>
              <w:t>活化利用地方特色人文资源融入现代生产生活，带动文创产业和旅游业发展</w:t>
            </w:r>
            <w:r>
              <w:rPr>
                <w:rFonts w:eastAsia="仿宋_GB2312"/>
                <w:bCs/>
                <w:sz w:val="21"/>
                <w:szCs w:val="21"/>
                <w:lang w:val="zh-CN"/>
              </w:rPr>
              <w:t>。</w:t>
            </w:r>
          </w:p>
        </w:tc>
      </w:tr>
    </w:tbl>
    <w:p>
      <w:pPr>
        <w:pStyle w:val="2"/>
        <w:widowControl/>
        <w:spacing w:before="0" w:after="0" w:line="560" w:lineRule="exact"/>
        <w:ind w:firstLine="640" w:firstLineChars="200"/>
        <w:rPr>
          <w:rFonts w:ascii="Times New Roman" w:hAnsi="Times New Roman" w:eastAsia="楷体_GB2312" w:cs="Times New Roman"/>
          <w:b w:val="0"/>
        </w:rPr>
      </w:pPr>
      <w:bookmarkStart w:id="72" w:name="_Toc12906"/>
      <w:bookmarkStart w:id="73" w:name="_Toc3998"/>
      <w:bookmarkStart w:id="74" w:name="_Toc2757"/>
      <w:bookmarkStart w:id="75" w:name="_Toc24777"/>
      <w:r>
        <w:rPr>
          <w:rFonts w:ascii="Times New Roman" w:hAnsi="Times New Roman" w:eastAsia="楷体_GB2312" w:cs="Times New Roman"/>
          <w:b w:val="0"/>
        </w:rPr>
        <w:t>（四）推动公共文体服务</w:t>
      </w:r>
      <w:bookmarkEnd w:id="72"/>
      <w:bookmarkEnd w:id="73"/>
      <w:bookmarkEnd w:id="74"/>
      <w:bookmarkEnd w:id="75"/>
      <w:bookmarkStart w:id="76" w:name="_Toc30220"/>
      <w:bookmarkStart w:id="77" w:name="_Toc19610"/>
      <w:bookmarkStart w:id="78" w:name="_Toc11419"/>
      <w:bookmarkStart w:id="79" w:name="_Toc10191"/>
      <w:r>
        <w:rPr>
          <w:rFonts w:ascii="Times New Roman" w:hAnsi="Times New Roman" w:eastAsia="楷体_GB2312" w:cs="Times New Roman"/>
          <w:b w:val="0"/>
        </w:rPr>
        <w:t>高质量发展</w:t>
      </w:r>
    </w:p>
    <w:p>
      <w:pPr>
        <w:pStyle w:val="5"/>
        <w:widowControl/>
        <w:snapToGrid w:val="0"/>
        <w:spacing w:before="0" w:after="0" w:line="560" w:lineRule="exact"/>
        <w:ind w:firstLine="643" w:firstLineChars="200"/>
        <w:rPr>
          <w:rFonts w:eastAsia="仿宋_GB2312"/>
          <w:bCs/>
          <w:sz w:val="32"/>
          <w:szCs w:val="32"/>
        </w:rPr>
      </w:pPr>
      <w:r>
        <w:rPr>
          <w:rFonts w:eastAsia="仿宋_GB2312"/>
          <w:b/>
          <w:sz w:val="32"/>
          <w:szCs w:val="32"/>
        </w:rPr>
        <w:t>1. 推动城乡公共文化和体育服务一体化</w:t>
      </w:r>
      <w:r>
        <w:rPr>
          <w:rFonts w:eastAsia="仿宋_GB2312"/>
          <w:bCs/>
          <w:sz w:val="32"/>
          <w:szCs w:val="32"/>
        </w:rPr>
        <w:t>。深化公共文化和体育服务供给侧结构性改革，创新实施文化和体育惠民工程，不断提高城乡文体设施、资源和服务一体化发展水平。全面落实《太仓市城市总体规划</w:t>
      </w:r>
      <w:r>
        <w:rPr>
          <w:rFonts w:eastAsia="仿宋_GB2312"/>
          <w:sz w:val="32"/>
          <w:szCs w:val="32"/>
        </w:rPr>
        <w:t>（2010~2030）》关于城乡公共服务设施体系总体要求，加强城乡一体化文化和体育设</w:t>
      </w:r>
      <w:r>
        <w:rPr>
          <w:rFonts w:eastAsia="仿宋_GB2312"/>
          <w:bCs/>
          <w:sz w:val="32"/>
          <w:szCs w:val="32"/>
        </w:rPr>
        <w:t>施体系建设，高水平建成太仓市美术馆新馆等文化地标，新建一批图书分馆，建设文献保障中心、少儿图书馆，打造以市民公园为中心的城市客厅。</w:t>
      </w:r>
      <w:r>
        <w:rPr>
          <w:rFonts w:eastAsia="仿宋_GB2312"/>
          <w:kern w:val="0"/>
          <w:sz w:val="32"/>
          <w:szCs w:val="32"/>
        </w:rPr>
        <w:t>深入实施全民健身设施建设补短板工程，建设</w:t>
      </w:r>
      <w:r>
        <w:rPr>
          <w:rFonts w:eastAsia="仿宋_GB2312"/>
          <w:bCs/>
          <w:sz w:val="32"/>
          <w:szCs w:val="32"/>
        </w:rPr>
        <w:t>各镇（区、街道）</w:t>
      </w:r>
      <w:r>
        <w:rPr>
          <w:rFonts w:eastAsia="仿宋_GB2312"/>
          <w:kern w:val="0"/>
          <w:sz w:val="32"/>
          <w:szCs w:val="32"/>
        </w:rPr>
        <w:t>全民健身场地。</w:t>
      </w:r>
      <w:r>
        <w:rPr>
          <w:rFonts w:eastAsia="仿宋_GB2312"/>
          <w:sz w:val="32"/>
          <w:szCs w:val="32"/>
        </w:rPr>
        <w:t>推动体育公园、社会足球场、健身步道、社区健身中心、智能健身房等便民惠民体育空间建设。</w:t>
      </w:r>
      <w:r>
        <w:rPr>
          <w:rFonts w:eastAsia="仿宋_GB2312"/>
          <w:kern w:val="0"/>
          <w:sz w:val="32"/>
          <w:szCs w:val="32"/>
        </w:rPr>
        <w:t>重点推进市体育中心选址建设。</w:t>
      </w:r>
      <w:r>
        <w:rPr>
          <w:rFonts w:eastAsia="仿宋_GB2312"/>
          <w:sz w:val="32"/>
          <w:szCs w:val="32"/>
        </w:rPr>
        <w:t>全市常住人口人均体育场地面积力争达4.8平方米，</w:t>
      </w:r>
      <w:r>
        <w:rPr>
          <w:rFonts w:eastAsia="仿宋_GB2312"/>
          <w:kern w:val="0"/>
          <w:sz w:val="32"/>
          <w:szCs w:val="32"/>
        </w:rPr>
        <w:t>经常参加体育锻炼人数比</w:t>
      </w:r>
      <w:r>
        <w:rPr>
          <w:rFonts w:eastAsia="仿宋_GB2312"/>
          <w:sz w:val="32"/>
          <w:szCs w:val="32"/>
        </w:rPr>
        <w:t>例达48.6%。</w:t>
      </w:r>
      <w:r>
        <w:rPr>
          <w:rFonts w:eastAsia="仿宋_GB2312"/>
          <w:bCs/>
          <w:sz w:val="32"/>
          <w:szCs w:val="32"/>
        </w:rPr>
        <w:t>支持各镇（区、街道）文体活动中心建设，建成沙溪镇文体活动中心，完成城厢镇文化中心等提档升级，全面提升基层公共文体设施服务能力。</w:t>
      </w:r>
      <w:r>
        <w:rPr>
          <w:rStyle w:val="11"/>
          <w:rFonts w:hint="default" w:ascii="Times New Roman" w:eastAsia="仿宋_GB2312"/>
        </w:rPr>
        <w:t>创新打造一批融合文化体验、艺术展览、轻食餐饮、非遗传习等服务的文化沙龙、文化驿站等，营造“小而美”的城乡新型公共文化空间，逐步建立符合群众需求的运营模式。</w:t>
      </w:r>
      <w:r>
        <w:rPr>
          <w:rFonts w:eastAsia="仿宋_GB2312"/>
          <w:bCs/>
          <w:sz w:val="32"/>
          <w:szCs w:val="32"/>
        </w:rPr>
        <w:t>到2025年，人均接受文化场馆服务次数不低于7次。</w:t>
      </w:r>
    </w:p>
    <w:p>
      <w:pPr>
        <w:pStyle w:val="5"/>
        <w:widowControl/>
        <w:snapToGrid w:val="0"/>
        <w:spacing w:before="0" w:after="0" w:line="560" w:lineRule="exact"/>
        <w:ind w:firstLine="643" w:firstLineChars="200"/>
        <w:rPr>
          <w:rFonts w:eastAsia="仿宋_GB2312"/>
          <w:bCs/>
          <w:sz w:val="32"/>
          <w:szCs w:val="32"/>
        </w:rPr>
      </w:pPr>
      <w:r>
        <w:rPr>
          <w:rFonts w:eastAsia="仿宋_GB2312"/>
          <w:b/>
          <w:sz w:val="32"/>
          <w:szCs w:val="32"/>
        </w:rPr>
        <w:t>2. 提升基层公共文化和体育服务效能</w:t>
      </w:r>
      <w:r>
        <w:rPr>
          <w:rFonts w:eastAsia="仿宋_GB2312"/>
          <w:bCs/>
          <w:sz w:val="32"/>
          <w:szCs w:val="32"/>
        </w:rPr>
        <w:t>。深化基层综合性文化服务中心与新时代文明实践所（站）融合建设，搭建理论宣讲、教育服务、文化服务、科技与科普服务、健康促进与体育服务“五大平台”，因地制宜推进村史馆、非遗传习点、文体广场、健身步道等文体空间建设，试点推进一批艺术、体育强镇和特色村建设。</w:t>
      </w:r>
    </w:p>
    <w:p>
      <w:pPr>
        <w:pStyle w:val="5"/>
        <w:widowControl/>
        <w:snapToGrid w:val="0"/>
        <w:spacing w:before="0" w:after="0" w:line="560" w:lineRule="exact"/>
        <w:ind w:firstLine="643" w:firstLineChars="200"/>
        <w:rPr>
          <w:rFonts w:eastAsia="仿宋_GB2312"/>
          <w:bCs/>
          <w:sz w:val="32"/>
          <w:szCs w:val="32"/>
        </w:rPr>
      </w:pPr>
      <w:r>
        <w:rPr>
          <w:rFonts w:eastAsia="仿宋_GB2312"/>
          <w:b/>
          <w:sz w:val="32"/>
          <w:szCs w:val="32"/>
        </w:rPr>
        <w:t>3. 持之以恒推进“书香太仓”建设</w:t>
      </w:r>
      <w:r>
        <w:rPr>
          <w:rFonts w:eastAsia="仿宋_GB2312"/>
          <w:bCs/>
          <w:sz w:val="32"/>
          <w:szCs w:val="32"/>
        </w:rPr>
        <w:t>。</w:t>
      </w:r>
      <w:r>
        <w:rPr>
          <w:rStyle w:val="10"/>
          <w:rFonts w:ascii="Times New Roman" w:eastAsia="仿宋_GB2312"/>
          <w:b w:val="0"/>
        </w:rPr>
        <w:t>新建一批格调高雅、环境整洁、造型美观、服务舒适，集阅读、鉴赏和休闲服务于一体</w:t>
      </w:r>
      <w:r>
        <w:rPr>
          <w:rFonts w:eastAsia="仿宋_GB2312"/>
          <w:bCs/>
          <w:sz w:val="32"/>
          <w:szCs w:val="32"/>
        </w:rPr>
        <w:t>的“城市书房”</w:t>
      </w:r>
      <w:r>
        <w:rPr>
          <w:rStyle w:val="10"/>
          <w:rFonts w:ascii="Times New Roman" w:eastAsia="仿宋_GB2312"/>
          <w:b w:val="0"/>
        </w:rPr>
        <w:t>。</w:t>
      </w:r>
      <w:r>
        <w:rPr>
          <w:rFonts w:eastAsia="仿宋_GB2312"/>
          <w:bCs/>
          <w:sz w:val="32"/>
          <w:szCs w:val="32"/>
        </w:rPr>
        <w:t>培育一批与现代社会生活相适应、具有示范引领作用、为书香城市建设增光添彩的复合型实体书店</w:t>
      </w:r>
      <w:r>
        <w:rPr>
          <w:rStyle w:val="10"/>
          <w:rFonts w:ascii="Times New Roman" w:eastAsia="仿宋_GB2312"/>
          <w:b w:val="0"/>
        </w:rPr>
        <w:t>。</w:t>
      </w:r>
      <w:r>
        <w:rPr>
          <w:rFonts w:eastAsia="仿宋_GB2312"/>
          <w:bCs/>
          <w:sz w:val="32"/>
          <w:szCs w:val="32"/>
        </w:rPr>
        <w:t>织密城乡一体化全民阅读服务网络，</w:t>
      </w:r>
      <w:r>
        <w:rPr>
          <w:rStyle w:val="10"/>
          <w:rFonts w:ascii="Times New Roman" w:eastAsia="仿宋_GB2312"/>
          <w:b w:val="0"/>
        </w:rPr>
        <w:t>按照人口分布和辐射半径布局要求，积极吸纳社会力量参与建设，</w:t>
      </w:r>
      <w:r>
        <w:rPr>
          <w:rFonts w:eastAsia="仿宋_GB2312"/>
          <w:bCs/>
          <w:sz w:val="32"/>
          <w:szCs w:val="32"/>
        </w:rPr>
        <w:t>让阅读成为有广泛吸引力的城市新风尚。</w:t>
      </w:r>
    </w:p>
    <w:p>
      <w:pPr>
        <w:pStyle w:val="5"/>
        <w:widowControl/>
        <w:snapToGrid w:val="0"/>
        <w:spacing w:before="0" w:after="0" w:line="560" w:lineRule="exact"/>
        <w:ind w:firstLine="643" w:firstLineChars="200"/>
        <w:rPr>
          <w:rFonts w:eastAsia="仿宋_GB2312"/>
          <w:bCs/>
          <w:sz w:val="32"/>
          <w:szCs w:val="32"/>
        </w:rPr>
      </w:pPr>
      <w:r>
        <w:rPr>
          <w:rFonts w:eastAsia="仿宋_GB2312"/>
          <w:b/>
          <w:sz w:val="32"/>
          <w:szCs w:val="32"/>
        </w:rPr>
        <w:t>4. 创新实施文化惠民工程</w:t>
      </w:r>
      <w:r>
        <w:rPr>
          <w:rFonts w:eastAsia="仿宋_GB2312"/>
          <w:bCs/>
          <w:sz w:val="32"/>
          <w:szCs w:val="32"/>
        </w:rPr>
        <w:t>。推动“数字农家书屋”“数字电影放映”“数字农村广播”提档升级，广泛开展群众性文化活动，持续打造“娄东之春文化艺术节”“欢乐文明百村（社区）行”“娄东大讲堂”“娄东戏台”等文化服务品牌，开展城乡“百团大展演”“全民阅读季”“全民艺术普及季”“全民健身节”“全民健身日”等文化和体育活动。</w:t>
      </w:r>
    </w:p>
    <w:p>
      <w:pPr>
        <w:pStyle w:val="5"/>
        <w:widowControl/>
        <w:snapToGrid w:val="0"/>
        <w:spacing w:before="0" w:after="0" w:line="560" w:lineRule="exact"/>
        <w:ind w:firstLine="643" w:firstLineChars="200"/>
        <w:rPr>
          <w:rStyle w:val="10"/>
          <w:rFonts w:ascii="Times New Roman" w:eastAsia="仿宋_GB2312"/>
          <w:b w:val="0"/>
        </w:rPr>
      </w:pPr>
      <w:r>
        <w:rPr>
          <w:rFonts w:eastAsia="仿宋_GB2312"/>
          <w:b/>
          <w:sz w:val="32"/>
          <w:szCs w:val="32"/>
        </w:rPr>
        <w:t>5. 推动公共文化数字化建设</w:t>
      </w:r>
      <w:r>
        <w:rPr>
          <w:rFonts w:eastAsia="仿宋_GB2312"/>
          <w:bCs/>
          <w:sz w:val="32"/>
          <w:szCs w:val="32"/>
        </w:rPr>
        <w:t>。加快“智慧文旅服务系统”“文化和体育服务大数据系统”及地方特色数字文化资源库建设，鼓励高科技企业参与公共文化和体育数字化服务体系建设，鼓励社会各界参与公共文化和体育数字化产品和服务开发应用，构建覆盖全面、内容丰富、开放多元、参与便利、智能互动的公</w:t>
      </w:r>
      <w:r>
        <w:rPr>
          <w:rStyle w:val="10"/>
          <w:rFonts w:ascii="Times New Roman" w:eastAsia="仿宋_GB2312"/>
          <w:b w:val="0"/>
        </w:rPr>
        <w:t>共文化和体育数字化服务体系。</w:t>
      </w:r>
    </w:p>
    <w:p>
      <w:pPr>
        <w:spacing w:line="560" w:lineRule="exact"/>
        <w:ind w:firstLine="643" w:firstLineChars="200"/>
        <w:rPr>
          <w:rFonts w:ascii="Times New Roman" w:eastAsia="仿宋_GB2312"/>
          <w:szCs w:val="32"/>
        </w:rPr>
      </w:pPr>
      <w:r>
        <w:rPr>
          <w:rFonts w:ascii="Times New Roman" w:eastAsia="仿宋_GB2312"/>
          <w:b/>
          <w:szCs w:val="32"/>
        </w:rPr>
        <w:t>6. 广泛开展全民健身赛事活动。</w:t>
      </w:r>
      <w:r>
        <w:rPr>
          <w:rFonts w:ascii="Times New Roman" w:eastAsia="仿宋_GB2312"/>
          <w:szCs w:val="32"/>
        </w:rPr>
        <w:t>大力发展篮球、排球、足球、羽毛球、乒乓球、桥牌、门球、围棋等群众普及程度高的太仓市级体育联赛项目。努力发展户外、冰雪、马拉松、马术等引领性强的时尚运动项目。持续开展全民健身日、假日体育等体育活动，打造一批群众性特色体育品牌赛事。</w:t>
      </w:r>
    </w:p>
    <w:p>
      <w:pPr>
        <w:spacing w:line="560" w:lineRule="exact"/>
        <w:ind w:firstLine="643" w:firstLineChars="200"/>
        <w:rPr>
          <w:rFonts w:ascii="Times New Roman" w:eastAsia="仿宋_GB2312"/>
          <w:szCs w:val="32"/>
        </w:rPr>
      </w:pPr>
      <w:r>
        <w:rPr>
          <w:rFonts w:ascii="Times New Roman" w:eastAsia="仿宋_GB2312"/>
          <w:b/>
          <w:bCs/>
          <w:szCs w:val="32"/>
        </w:rPr>
        <w:t>7. 提升办赛和青少年竞技水平。</w:t>
      </w:r>
      <w:r>
        <w:rPr>
          <w:rFonts w:ascii="Times New Roman" w:eastAsia="仿宋_GB2312"/>
          <w:szCs w:val="32"/>
        </w:rPr>
        <w:t>持续办好世界田联竞走巡回赛，擦亮“竞走之城”名片。积极申办“篮、排、足”三大球赛事。加强体教融合，探索竞技体育“省队县办”“市队县办”合作模式，提升我市青少年竞技水平，力争在省运会、全运会上实现我市竞技成绩新突破。重点发展好我市运动学校现有田径、武术、乒乓球、跆拳道等项目，依托市队校办、业余训练点、体育传统校等不同训练模式，努力提升太仓的竞技体育水平，力争向省市输送更多的体育后备人才。</w:t>
      </w:r>
    </w:p>
    <w:p>
      <w:pPr>
        <w:pStyle w:val="5"/>
        <w:widowControl/>
        <w:snapToGrid w:val="0"/>
        <w:spacing w:before="0" w:after="0" w:line="560" w:lineRule="exact"/>
        <w:ind w:firstLine="482" w:firstLineChars="200"/>
        <w:rPr>
          <w:rFonts w:eastAsia="仿宋_GB2312"/>
          <w:sz w:val="32"/>
          <w:szCs w:val="32"/>
        </w:rPr>
      </w:pPr>
      <w:r>
        <w:rPr>
          <w:rStyle w:val="10"/>
          <w:rFonts w:ascii="Times New Roman" w:eastAsia="仿宋_GB2312"/>
          <w:bCs w:val="0"/>
        </w:rPr>
        <w:t>8. 创新公共文化和体育服务运行机制</w:t>
      </w:r>
      <w:r>
        <w:rPr>
          <w:rStyle w:val="10"/>
          <w:rFonts w:ascii="Times New Roman" w:eastAsia="仿宋_GB2312"/>
          <w:b w:val="0"/>
        </w:rPr>
        <w:t>。</w:t>
      </w:r>
      <w:r>
        <w:rPr>
          <w:rFonts w:eastAsia="仿宋_GB2312"/>
          <w:sz w:val="32"/>
          <w:szCs w:val="32"/>
        </w:rPr>
        <w:t>稳步实施政府购买公共服务，推动公共文化和体育服务社会化专业化发展</w:t>
      </w:r>
      <w:r>
        <w:rPr>
          <w:rFonts w:eastAsia="仿宋_GB2312"/>
          <w:bCs/>
          <w:sz w:val="32"/>
          <w:szCs w:val="32"/>
        </w:rPr>
        <w:t>，深化公共文化和体育服务与旅游融合发展，推进历史人文、传统艺术和特色体育在景区景点植入，发挥“以文塑旅”关键作用。加强公共文化和体育领域与长三角区域各地交流合作，重点以江南特色、太仓特点的优质文体服务品牌助力公共文化和体育服务区域一体化发展。加强文化和体育领域志愿服务工作，保障好老年人、未成年人、残疾人、农民工等特殊群体权益，提高公共文化和体育设施及</w:t>
      </w:r>
      <w:r>
        <w:rPr>
          <w:rFonts w:eastAsia="仿宋_GB2312"/>
          <w:sz w:val="32"/>
          <w:szCs w:val="32"/>
        </w:rPr>
        <w:t>服务的适用性有效性。</w:t>
      </w:r>
    </w:p>
    <w:p>
      <w:pPr>
        <w:rPr>
          <w:rFonts w:ascii="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40" w:lineRule="exact"/>
              <w:jc w:val="center"/>
              <w:rPr>
                <w:rFonts w:ascii="Times New Roman" w:eastAsia="黑体"/>
                <w:sz w:val="21"/>
                <w:szCs w:val="21"/>
              </w:rPr>
            </w:pPr>
            <w:r>
              <w:rPr>
                <w:rFonts w:ascii="Times New Roman" w:eastAsia="黑体"/>
                <w:bCs/>
                <w:sz w:val="21"/>
                <w:szCs w:val="21"/>
              </w:rPr>
              <w:t>专栏5  公共文化和体育服务高质量发展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6"/>
              <w:snapToGrid w:val="0"/>
              <w:spacing w:before="0" w:after="0" w:line="440" w:lineRule="exact"/>
              <w:ind w:firstLine="422" w:firstLineChars="200"/>
              <w:rPr>
                <w:rFonts w:eastAsia="仿宋_GB2312"/>
                <w:bCs/>
                <w:sz w:val="21"/>
                <w:szCs w:val="21"/>
              </w:rPr>
            </w:pPr>
            <w:r>
              <w:rPr>
                <w:rFonts w:eastAsia="仿宋_GB2312"/>
                <w:b/>
                <w:sz w:val="21"/>
                <w:szCs w:val="21"/>
                <w:lang w:val="zh-CN"/>
              </w:rPr>
              <w:t>太仓</w:t>
            </w:r>
            <w:r>
              <w:rPr>
                <w:rFonts w:eastAsia="仿宋_GB2312"/>
                <w:b/>
                <w:sz w:val="21"/>
                <w:szCs w:val="21"/>
              </w:rPr>
              <w:t>市美术馆新馆建设</w:t>
            </w:r>
            <w:r>
              <w:rPr>
                <w:rFonts w:eastAsia="仿宋_GB2312"/>
                <w:bCs/>
                <w:sz w:val="21"/>
                <w:szCs w:val="21"/>
                <w:lang w:val="zh-CN"/>
              </w:rPr>
              <w:t>：</w:t>
            </w:r>
            <w:r>
              <w:rPr>
                <w:rFonts w:eastAsia="仿宋_GB2312"/>
                <w:bCs/>
                <w:sz w:val="21"/>
                <w:szCs w:val="21"/>
              </w:rPr>
              <w:t>实施太仓美术馆新建工程，建设地点位于上海路南、半径路西，占地面积约26亩，总建筑面积约1.6万平方米，计划2022年交付使用。</w:t>
            </w:r>
          </w:p>
          <w:p>
            <w:pPr>
              <w:pStyle w:val="6"/>
              <w:snapToGrid w:val="0"/>
              <w:spacing w:before="0" w:after="0" w:line="440" w:lineRule="exact"/>
              <w:ind w:firstLine="422" w:firstLineChars="200"/>
              <w:rPr>
                <w:rFonts w:eastAsia="仿宋_GB2312"/>
                <w:bCs/>
                <w:sz w:val="21"/>
                <w:szCs w:val="21"/>
                <w:lang w:val="zh-CN"/>
              </w:rPr>
            </w:pPr>
            <w:r>
              <w:rPr>
                <w:rFonts w:eastAsia="仿宋_GB2312"/>
                <w:b/>
                <w:sz w:val="21"/>
                <w:szCs w:val="21"/>
              </w:rPr>
              <w:t>城乡一体化公共文体设施体系建设</w:t>
            </w:r>
            <w:r>
              <w:rPr>
                <w:rFonts w:eastAsia="仿宋_GB2312"/>
                <w:b/>
                <w:sz w:val="21"/>
                <w:szCs w:val="21"/>
                <w:lang w:val="zh-CN"/>
              </w:rPr>
              <w:t>工程</w:t>
            </w:r>
            <w:r>
              <w:rPr>
                <w:rFonts w:eastAsia="仿宋_GB2312"/>
                <w:bCs/>
                <w:sz w:val="21"/>
                <w:szCs w:val="21"/>
                <w:lang w:val="zh-CN"/>
              </w:rPr>
              <w:t>：</w:t>
            </w:r>
            <w:r>
              <w:rPr>
                <w:rFonts w:eastAsia="仿宋_GB2312"/>
                <w:bCs/>
                <w:sz w:val="21"/>
                <w:szCs w:val="21"/>
              </w:rPr>
              <w:t>落实《太仓市城市总体规划（2010~2030）》城乡公共服务设施体系关于公共体育设施三级配套以及“双城、三片、多节点、全网络”均衡布局要求。支持各地文体活动中心建设。紧密结合新时代文明实践中心，因地制宜推进村史馆、非遗传习点、文体广场、健身步道等文体空间建设。新建一批集阅读、鉴赏和休闲服务于一体的“城市书房”，织密城乡一体化公共文体服务网络。</w:t>
            </w:r>
          </w:p>
          <w:p>
            <w:pPr>
              <w:pStyle w:val="6"/>
              <w:snapToGrid w:val="0"/>
              <w:spacing w:before="0" w:after="0" w:line="440" w:lineRule="exact"/>
              <w:ind w:firstLine="422" w:firstLineChars="200"/>
              <w:rPr>
                <w:rFonts w:eastAsia="仿宋_GB2312"/>
                <w:bCs/>
                <w:sz w:val="21"/>
                <w:szCs w:val="21"/>
              </w:rPr>
            </w:pPr>
            <w:r>
              <w:rPr>
                <w:rFonts w:eastAsia="仿宋_GB2312"/>
                <w:b/>
                <w:sz w:val="21"/>
                <w:szCs w:val="21"/>
              </w:rPr>
              <w:t>创新实施文化惠民工</w:t>
            </w:r>
            <w:r>
              <w:rPr>
                <w:rFonts w:eastAsia="仿宋_GB2312"/>
                <w:b/>
                <w:sz w:val="21"/>
                <w:szCs w:val="21"/>
                <w:lang w:val="zh-CN"/>
              </w:rPr>
              <w:t>程</w:t>
            </w:r>
            <w:r>
              <w:rPr>
                <w:rFonts w:eastAsia="仿宋_GB2312"/>
                <w:bCs/>
                <w:sz w:val="21"/>
                <w:szCs w:val="21"/>
                <w:lang w:val="zh-CN"/>
              </w:rPr>
              <w:t>：</w:t>
            </w:r>
            <w:r>
              <w:rPr>
                <w:rFonts w:eastAsia="仿宋_GB2312"/>
                <w:bCs/>
                <w:sz w:val="21"/>
                <w:szCs w:val="21"/>
              </w:rPr>
              <w:t>推动“数字农家书屋”“数字电影放映”“数字农村广播”提档升级，持续打造“娄东文化艺术节” “欢乐文明百村（社区）行”“娄东大讲堂”“娄东戏台”等文化服务品牌，开展城乡“百团大展演”“全民阅读季”“全民艺术普及季”等文化活动。</w:t>
            </w:r>
          </w:p>
          <w:p>
            <w:pPr>
              <w:pStyle w:val="6"/>
              <w:snapToGrid w:val="0"/>
              <w:spacing w:before="0" w:after="0" w:line="440" w:lineRule="exact"/>
              <w:ind w:firstLine="422" w:firstLineChars="200"/>
              <w:rPr>
                <w:rFonts w:eastAsia="仿宋_GB2312"/>
                <w:sz w:val="21"/>
                <w:szCs w:val="21"/>
              </w:rPr>
            </w:pPr>
            <w:r>
              <w:rPr>
                <w:rFonts w:eastAsia="仿宋_GB2312"/>
                <w:b/>
                <w:sz w:val="21"/>
                <w:szCs w:val="21"/>
              </w:rPr>
              <w:t>“智慧文体云”建设</w:t>
            </w:r>
            <w:r>
              <w:rPr>
                <w:rFonts w:eastAsia="仿宋_GB2312"/>
                <w:bCs/>
                <w:sz w:val="21"/>
                <w:szCs w:val="21"/>
                <w:lang w:val="zh-CN"/>
              </w:rPr>
              <w:t>：</w:t>
            </w:r>
            <w:r>
              <w:rPr>
                <w:rFonts w:eastAsia="仿宋_GB2312"/>
                <w:bCs/>
                <w:sz w:val="21"/>
                <w:szCs w:val="21"/>
              </w:rPr>
              <w:t>推进“智慧文旅服务系统”“文体服务大数据系统”和地方特色数字文体资源建设，构建公共文体数字化服务体系。</w:t>
            </w:r>
          </w:p>
        </w:tc>
      </w:tr>
    </w:tbl>
    <w:p>
      <w:pPr>
        <w:pStyle w:val="2"/>
        <w:widowControl/>
        <w:spacing w:before="0" w:after="0" w:line="540" w:lineRule="exact"/>
        <w:ind w:firstLine="640" w:firstLineChars="200"/>
        <w:rPr>
          <w:rFonts w:ascii="Times New Roman" w:hAnsi="Times New Roman" w:eastAsia="楷体_GB2312" w:cs="Times New Roman"/>
          <w:b w:val="0"/>
        </w:rPr>
      </w:pPr>
      <w:r>
        <w:rPr>
          <w:rFonts w:ascii="Times New Roman" w:hAnsi="Times New Roman" w:eastAsia="楷体_GB2312" w:cs="Times New Roman"/>
          <w:b w:val="0"/>
        </w:rPr>
        <w:t>（五）加强文化遗产保护和利用</w:t>
      </w:r>
    </w:p>
    <w:p>
      <w:pPr>
        <w:pStyle w:val="5"/>
        <w:widowControl/>
        <w:snapToGrid w:val="0"/>
        <w:spacing w:before="0" w:after="0" w:line="540" w:lineRule="exact"/>
        <w:ind w:firstLine="482" w:firstLineChars="200"/>
        <w:rPr>
          <w:rFonts w:eastAsia="仿宋_GB2312"/>
          <w:sz w:val="32"/>
          <w:szCs w:val="32"/>
        </w:rPr>
      </w:pPr>
      <w:bookmarkStart w:id="80" w:name="_Toc25889"/>
      <w:bookmarkStart w:id="81" w:name="_Toc9727"/>
      <w:bookmarkStart w:id="82" w:name="_Toc15468"/>
      <w:bookmarkStart w:id="83" w:name="_Toc5897"/>
      <w:r>
        <w:rPr>
          <w:rStyle w:val="10"/>
          <w:rFonts w:ascii="Times New Roman" w:eastAsia="仿宋_GB2312"/>
        </w:rPr>
        <w:t>1. 健全文化遗产保护</w:t>
      </w:r>
      <w:bookmarkEnd w:id="80"/>
      <w:bookmarkEnd w:id="81"/>
      <w:bookmarkEnd w:id="82"/>
      <w:bookmarkEnd w:id="83"/>
      <w:r>
        <w:rPr>
          <w:rStyle w:val="10"/>
          <w:rFonts w:ascii="Times New Roman" w:eastAsia="仿宋_GB2312"/>
        </w:rPr>
        <w:t>机制</w:t>
      </w:r>
      <w:r>
        <w:rPr>
          <w:rStyle w:val="10"/>
          <w:rFonts w:ascii="Times New Roman" w:eastAsia="仿宋_GB2312"/>
          <w:b w:val="0"/>
          <w:bCs w:val="0"/>
        </w:rPr>
        <w:t>。</w:t>
      </w:r>
      <w:r>
        <w:rPr>
          <w:rFonts w:eastAsia="仿宋_GB2312"/>
          <w:sz w:val="32"/>
          <w:szCs w:val="32"/>
        </w:rPr>
        <w:t>健全不可移动文物保护机</w:t>
      </w:r>
      <w:r>
        <w:rPr>
          <w:rFonts w:eastAsia="仿宋_GB2312"/>
          <w:bCs/>
          <w:sz w:val="32"/>
          <w:szCs w:val="32"/>
        </w:rPr>
        <w:t>制，实现市级以上文物保护单位“四有”档案、保护范围划定、保护标志树立工作完成率达100%。提升不可移动文物保护工程和可移动文物修复质量，规范保护修缮工</w:t>
      </w:r>
      <w:r>
        <w:rPr>
          <w:rFonts w:eastAsia="仿宋_GB2312"/>
          <w:sz w:val="32"/>
          <w:szCs w:val="32"/>
        </w:rPr>
        <w:t>程和行为。完善可移动文物资源管理机制，进一步规范国有博物馆藏品管理。</w:t>
      </w:r>
    </w:p>
    <w:p>
      <w:pPr>
        <w:pStyle w:val="5"/>
        <w:widowControl/>
        <w:snapToGrid w:val="0"/>
        <w:spacing w:before="0" w:after="0" w:line="540" w:lineRule="exact"/>
        <w:ind w:firstLine="482" w:firstLineChars="200"/>
        <w:rPr>
          <w:rFonts w:eastAsia="仿宋_GB2312"/>
          <w:bCs/>
          <w:sz w:val="32"/>
          <w:szCs w:val="32"/>
        </w:rPr>
      </w:pPr>
      <w:r>
        <w:rPr>
          <w:rStyle w:val="10"/>
          <w:rFonts w:ascii="Times New Roman" w:eastAsia="仿宋_GB2312"/>
        </w:rPr>
        <w:t>2. 提高文物安全水平。</w:t>
      </w:r>
      <w:r>
        <w:rPr>
          <w:rFonts w:eastAsia="仿宋_GB2312"/>
          <w:sz w:val="32"/>
          <w:szCs w:val="32"/>
        </w:rPr>
        <w:t>加强文物安全工作，常态化开展文物安全保护督</w:t>
      </w:r>
      <w:r>
        <w:rPr>
          <w:rFonts w:eastAsia="仿宋_GB2312"/>
          <w:bCs/>
          <w:sz w:val="32"/>
          <w:szCs w:val="32"/>
        </w:rPr>
        <w:t>察，实现全国重点文物保护单位“三防”全覆盖，市级以上文物保护单位排查重大险情隐患整治率达100%。完善常态化文物登记制度，落实文物安全责任制，应用先进技术提高全市文物信息化、智能化管理水平。</w:t>
      </w:r>
      <w:bookmarkStart w:id="84" w:name="_Toc27721"/>
      <w:bookmarkStart w:id="85" w:name="_Toc4210"/>
      <w:bookmarkStart w:id="86" w:name="_Toc31049"/>
      <w:bookmarkStart w:id="87" w:name="_Toc13279"/>
    </w:p>
    <w:p>
      <w:pPr>
        <w:pStyle w:val="5"/>
        <w:widowControl/>
        <w:snapToGrid w:val="0"/>
        <w:spacing w:before="0" w:after="0" w:line="540" w:lineRule="exact"/>
        <w:ind w:firstLine="643" w:firstLineChars="200"/>
        <w:rPr>
          <w:rFonts w:eastAsia="仿宋_GB2312"/>
          <w:sz w:val="32"/>
          <w:szCs w:val="32"/>
        </w:rPr>
      </w:pPr>
      <w:r>
        <w:rPr>
          <w:rFonts w:eastAsia="仿宋_GB2312"/>
          <w:b/>
          <w:sz w:val="32"/>
          <w:szCs w:val="32"/>
        </w:rPr>
        <w:t>3. 注重地方特色文化资源保护</w:t>
      </w:r>
      <w:r>
        <w:rPr>
          <w:rFonts w:eastAsia="仿宋_GB2312"/>
          <w:bCs/>
          <w:sz w:val="32"/>
          <w:szCs w:val="32"/>
        </w:rPr>
        <w:t>。</w:t>
      </w:r>
      <w:r>
        <w:rPr>
          <w:rFonts w:eastAsia="仿宋_GB2312"/>
          <w:sz w:val="32"/>
          <w:szCs w:val="32"/>
        </w:rPr>
        <w:t>做好江南文化</w:t>
      </w:r>
      <w:r>
        <w:rPr>
          <w:rFonts w:eastAsia="仿宋_GB2312"/>
          <w:bCs/>
          <w:sz w:val="32"/>
          <w:szCs w:val="32"/>
        </w:rPr>
        <w:t>保护与传承，延续娄东历史文脉。推进沙溪、浏河等古镇老街集群建设，挖掘历史名人资源，打造一批具有太仓独特韵味的文化项目。加强城乡建设中革命</w:t>
      </w:r>
      <w:r>
        <w:rPr>
          <w:rFonts w:eastAsia="仿宋_GB2312"/>
          <w:sz w:val="32"/>
          <w:szCs w:val="32"/>
        </w:rPr>
        <w:t>文物保护工作，做好基本建设中文物调查勘探和抢救性考古发掘，推进考古前置工作。</w:t>
      </w:r>
    </w:p>
    <w:p>
      <w:pPr>
        <w:pStyle w:val="5"/>
        <w:widowControl/>
        <w:snapToGrid w:val="0"/>
        <w:spacing w:before="0" w:after="0" w:line="540" w:lineRule="exact"/>
        <w:ind w:firstLine="643" w:firstLineChars="200"/>
        <w:rPr>
          <w:rFonts w:eastAsia="仿宋_GB2312"/>
          <w:bCs/>
          <w:sz w:val="32"/>
          <w:szCs w:val="32"/>
        </w:rPr>
      </w:pPr>
      <w:r>
        <w:rPr>
          <w:rFonts w:eastAsia="仿宋_GB2312"/>
          <w:b/>
          <w:sz w:val="32"/>
          <w:szCs w:val="32"/>
        </w:rPr>
        <w:t>4. 加强非物质文化遗产保护制度建设</w:t>
      </w:r>
      <w:r>
        <w:rPr>
          <w:rFonts w:eastAsia="仿宋_GB2312"/>
          <w:bCs/>
          <w:sz w:val="32"/>
          <w:szCs w:val="32"/>
        </w:rPr>
        <w:t>。深入实施非物质文化遗产传承发展工程，切实提升非物质文化遗产系统性保护水平。健全代表性项目名录体系，加强代表性项目存续状况评估，建立动态调整机制。夯实代表性项目保护单位责任，加强代表性项目相关文化空间保护。健全代表性传承人认定、管理、研修、培训、评估机制和制度。加强传统技艺和传统美术的生产性保护，按照“见人见物见生活”的要求，为非物质文化遗产代表性项目及其代表性传承人提供设施、改善服务、扩大支持。加强档案数字化建设，推动非遗数字化建设，加强记录、保存和传播。</w:t>
      </w:r>
    </w:p>
    <w:p>
      <w:pPr>
        <w:pStyle w:val="5"/>
        <w:widowControl/>
        <w:snapToGrid w:val="0"/>
        <w:spacing w:before="0" w:after="0" w:line="540" w:lineRule="exact"/>
        <w:ind w:firstLine="643" w:firstLineChars="200"/>
        <w:rPr>
          <w:rFonts w:eastAsia="仿宋_GB2312"/>
          <w:bCs/>
          <w:sz w:val="32"/>
          <w:szCs w:val="32"/>
        </w:rPr>
      </w:pPr>
      <w:r>
        <w:rPr>
          <w:rFonts w:eastAsia="仿宋_GB2312"/>
          <w:b/>
          <w:sz w:val="32"/>
          <w:szCs w:val="32"/>
        </w:rPr>
        <w:t>5.</w:t>
      </w:r>
      <w:bookmarkStart w:id="88" w:name="_Toc16463"/>
      <w:bookmarkStart w:id="89" w:name="_Toc23944"/>
      <w:bookmarkStart w:id="90" w:name="_Toc3602"/>
      <w:bookmarkStart w:id="91" w:name="_Toc23017"/>
      <w:r>
        <w:rPr>
          <w:rFonts w:eastAsia="仿宋_GB2312"/>
          <w:b/>
          <w:sz w:val="32"/>
          <w:szCs w:val="32"/>
        </w:rPr>
        <w:t xml:space="preserve"> 推动非物质文化遗产创造性转化创新性发展</w:t>
      </w:r>
      <w:bookmarkEnd w:id="88"/>
      <w:bookmarkEnd w:id="89"/>
      <w:bookmarkEnd w:id="90"/>
      <w:bookmarkEnd w:id="91"/>
      <w:r>
        <w:rPr>
          <w:rFonts w:eastAsia="仿宋_GB2312"/>
          <w:bCs/>
          <w:sz w:val="32"/>
          <w:szCs w:val="32"/>
        </w:rPr>
        <w:t>。积极参与“海上丝绸之路申遗”和“江南水乡古镇申遗”工作。保护传承江南丝竹、滚灯和龙狮等非物质文化遗产，建设非遗展示馆。</w:t>
      </w:r>
      <w:bookmarkEnd w:id="84"/>
      <w:bookmarkEnd w:id="85"/>
      <w:bookmarkEnd w:id="86"/>
      <w:bookmarkEnd w:id="87"/>
      <w:r>
        <w:rPr>
          <w:rFonts w:eastAsia="仿宋_GB2312"/>
          <w:bCs/>
          <w:sz w:val="32"/>
          <w:szCs w:val="32"/>
        </w:rPr>
        <w:t>实施非遗保护传承普及振兴工程，鼓励和支持代表性传承人采用师徒传承、教学指导、研修研习等方式开展传承和服务活动，争取苏州市级以上非物质文化遗产代表性项目增加不少于2项。深化非遗和旅游融合发展，推动景区景点引入非遗项目</w:t>
      </w:r>
      <w:r>
        <w:rPr>
          <w:rFonts w:eastAsia="仿宋_GB2312"/>
          <w:sz w:val="32"/>
          <w:szCs w:val="32"/>
        </w:rPr>
        <w:t>或元素，鼓励依托非遗资源开发特色旅游线路、产品和服务项目。</w:t>
      </w:r>
      <w:r>
        <w:rPr>
          <w:rFonts w:eastAsia="仿宋_GB2312"/>
          <w:bCs/>
          <w:sz w:val="32"/>
          <w:szCs w:val="32"/>
        </w:rPr>
        <w:t>加强非遗宣传推广，依托各类平台，多方位展示、宣传非物质文化遗产，扩大非遗影响力。</w:t>
      </w:r>
    </w:p>
    <w:p>
      <w:pPr>
        <w:pStyle w:val="5"/>
        <w:widowControl/>
        <w:snapToGrid w:val="0"/>
        <w:spacing w:before="0" w:after="0" w:line="540" w:lineRule="exact"/>
        <w:ind w:firstLine="643" w:firstLineChars="200"/>
      </w:pPr>
      <w:r>
        <w:rPr>
          <w:rFonts w:eastAsia="仿宋_GB2312"/>
          <w:b/>
          <w:sz w:val="32"/>
          <w:szCs w:val="32"/>
        </w:rPr>
        <w:t>6. 加快博物馆事业发展</w:t>
      </w:r>
      <w:r>
        <w:rPr>
          <w:rFonts w:eastAsia="仿宋_GB2312"/>
          <w:bCs/>
          <w:sz w:val="32"/>
          <w:szCs w:val="32"/>
        </w:rPr>
        <w:t>。推动太仓市博物馆进一步深化展陈内容、创新服务方式，加大对太仓特色江南文化的策展力度，提高知名度和影响力。围绕重大节庆活动举办主题陈列展览活动，办好“5·18国际博物馆日”等活动。支持社会力量参与非国有博物馆建设，</w:t>
      </w:r>
      <w:bookmarkStart w:id="92" w:name="_Toc1399"/>
      <w:bookmarkStart w:id="93" w:name="_Toc18626"/>
      <w:bookmarkStart w:id="94" w:name="_Toc20708"/>
      <w:r>
        <w:rPr>
          <w:rFonts w:eastAsia="仿宋_GB2312"/>
          <w:bCs/>
          <w:sz w:val="32"/>
          <w:szCs w:val="32"/>
        </w:rPr>
        <w:t>扩大太仓市博物馆对非国有博物馆的专业支持，推动非国有博物馆特别是以江南文化为主题的博物馆健康发展。</w:t>
      </w:r>
    </w:p>
    <w:bookmarkEnd w:id="92"/>
    <w:bookmarkEnd w:id="93"/>
    <w:bookmarkEnd w:id="94"/>
    <w:tbl>
      <w:tblPr>
        <w:tblStyle w:val="8"/>
        <w:tblpPr w:leftFromText="180" w:rightFromText="180" w:vertAnchor="text" w:horzAnchor="page" w:tblpX="1776" w:tblpY="543"/>
        <w:tblOverlap w:val="never"/>
        <w:tblW w:w="8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4" w:type="dxa"/>
            <w:tcBorders>
              <w:top w:val="single" w:color="auto" w:sz="4" w:space="0"/>
              <w:left w:val="single" w:color="auto" w:sz="4" w:space="0"/>
              <w:bottom w:val="single" w:color="auto" w:sz="4" w:space="0"/>
              <w:right w:val="single" w:color="auto" w:sz="4" w:space="0"/>
            </w:tcBorders>
            <w:vAlign w:val="center"/>
          </w:tcPr>
          <w:p>
            <w:pPr>
              <w:pStyle w:val="4"/>
              <w:widowControl/>
              <w:snapToGrid w:val="0"/>
              <w:spacing w:line="440" w:lineRule="exact"/>
              <w:jc w:val="center"/>
              <w:rPr>
                <w:rFonts w:ascii="Times New Roman" w:eastAsia="黑体"/>
                <w:bCs/>
                <w:spacing w:val="0"/>
                <w:sz w:val="21"/>
                <w:szCs w:val="21"/>
              </w:rPr>
            </w:pPr>
            <w:bookmarkStart w:id="95" w:name="_Hlk57930003"/>
            <w:r>
              <w:rPr>
                <w:rFonts w:ascii="Times New Roman" w:eastAsia="黑体"/>
                <w:bCs/>
                <w:spacing w:val="0"/>
                <w:sz w:val="21"/>
                <w:szCs w:val="21"/>
              </w:rPr>
              <w:t>专栏6  文化遗产保护传承发展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440" w:lineRule="exact"/>
              <w:ind w:firstLine="422" w:firstLineChars="200"/>
              <w:rPr>
                <w:rFonts w:eastAsia="仿宋_GB2312"/>
                <w:sz w:val="21"/>
                <w:szCs w:val="21"/>
                <w:lang w:val="zh-CN"/>
              </w:rPr>
            </w:pPr>
            <w:r>
              <w:rPr>
                <w:rFonts w:eastAsia="仿宋_GB2312"/>
                <w:b/>
                <w:bCs/>
                <w:sz w:val="21"/>
                <w:szCs w:val="21"/>
              </w:rPr>
              <w:t>市级以上文物单位“四有”和全国重点文物保护单位“三防”全覆盖工程：</w:t>
            </w:r>
            <w:r>
              <w:rPr>
                <w:rFonts w:eastAsia="仿宋_GB2312"/>
                <w:bCs/>
                <w:sz w:val="21"/>
                <w:szCs w:val="21"/>
              </w:rPr>
              <w:t>实现市级以上文物保护单位“有保护范围、有保护标志、有记录档案、有保管机构”，全国重点文物保护单位“消防、安防、防雷”全覆盖。文物管理智能化工程</w:t>
            </w:r>
            <w:r>
              <w:rPr>
                <w:rFonts w:eastAsia="仿宋_GB2312"/>
                <w:sz w:val="21"/>
                <w:szCs w:val="21"/>
                <w:lang w:val="zh-CN"/>
              </w:rPr>
              <w:t>：</w:t>
            </w:r>
            <w:r>
              <w:rPr>
                <w:rFonts w:eastAsia="仿宋_GB2312"/>
                <w:sz w:val="21"/>
                <w:szCs w:val="21"/>
              </w:rPr>
              <w:t>应用先进技术，实现全市不可移动文物信息化、智能化管理。</w:t>
            </w:r>
          </w:p>
          <w:p>
            <w:pPr>
              <w:pStyle w:val="6"/>
              <w:snapToGrid w:val="0"/>
              <w:spacing w:before="0" w:after="0" w:line="440" w:lineRule="exact"/>
              <w:ind w:firstLine="422" w:firstLineChars="200"/>
              <w:rPr>
                <w:rFonts w:eastAsia="仿宋_GB2312"/>
                <w:sz w:val="21"/>
                <w:szCs w:val="21"/>
              </w:rPr>
            </w:pPr>
            <w:r>
              <w:rPr>
                <w:rFonts w:eastAsia="仿宋_GB2312"/>
                <w:b/>
                <w:bCs/>
                <w:sz w:val="21"/>
                <w:szCs w:val="21"/>
              </w:rPr>
              <w:t>古镇老街保护利用工程</w:t>
            </w:r>
            <w:r>
              <w:rPr>
                <w:rFonts w:eastAsia="仿宋_GB2312"/>
                <w:sz w:val="21"/>
                <w:szCs w:val="21"/>
                <w:lang w:val="zh-CN"/>
              </w:rPr>
              <w:t>：</w:t>
            </w:r>
            <w:r>
              <w:rPr>
                <w:rFonts w:eastAsia="仿宋_GB2312"/>
                <w:sz w:val="21"/>
                <w:szCs w:val="21"/>
              </w:rPr>
              <w:t>沙溪、浏河等古镇老街集群建设，推进地方特色优秀文化资源集聚，带动古镇老街旅游业发展。</w:t>
            </w:r>
          </w:p>
          <w:p>
            <w:pPr>
              <w:pStyle w:val="6"/>
              <w:snapToGrid w:val="0"/>
              <w:spacing w:before="0" w:after="0" w:line="440" w:lineRule="exact"/>
              <w:ind w:firstLine="422" w:firstLineChars="200"/>
              <w:rPr>
                <w:rFonts w:eastAsia="仿宋_GB2312"/>
                <w:sz w:val="21"/>
                <w:szCs w:val="21"/>
              </w:rPr>
            </w:pPr>
            <w:r>
              <w:rPr>
                <w:rFonts w:eastAsia="仿宋_GB2312"/>
                <w:b/>
                <w:bCs/>
                <w:sz w:val="21"/>
                <w:szCs w:val="21"/>
              </w:rPr>
              <w:t>非物质文化遗产生产性保护工程</w:t>
            </w:r>
            <w:r>
              <w:rPr>
                <w:rFonts w:eastAsia="仿宋_GB2312"/>
                <w:sz w:val="21"/>
                <w:szCs w:val="21"/>
                <w:lang w:val="zh-CN"/>
              </w:rPr>
              <w:t>：</w:t>
            </w:r>
            <w:r>
              <w:rPr>
                <w:rFonts w:eastAsia="仿宋_GB2312"/>
                <w:sz w:val="21"/>
                <w:szCs w:val="21"/>
              </w:rPr>
              <w:t>建设集展示、传承、研学、旅游等功能于一体的非物质文化遗产展示馆。加强非遗数字化保护，建立非遗项目数据库。推动非物质文化遗产传承传播基地发展。</w:t>
            </w:r>
          </w:p>
        </w:tc>
      </w:tr>
    </w:tbl>
    <w:p>
      <w:pPr>
        <w:pStyle w:val="2"/>
        <w:widowControl/>
        <w:spacing w:before="0" w:after="0" w:line="560" w:lineRule="exact"/>
        <w:ind w:firstLine="640" w:firstLineChars="200"/>
        <w:rPr>
          <w:rFonts w:ascii="Times New Roman" w:hAnsi="Times New Roman" w:eastAsia="楷体_GB2312" w:cs="Times New Roman"/>
          <w:b w:val="0"/>
        </w:rPr>
      </w:pPr>
      <w:bookmarkStart w:id="96" w:name="_Toc4261"/>
      <w:bookmarkStart w:id="97" w:name="_Toc9318"/>
      <w:bookmarkStart w:id="98" w:name="_Toc1623"/>
      <w:bookmarkStart w:id="99" w:name="_Toc646"/>
      <w:r>
        <w:rPr>
          <w:rFonts w:ascii="Times New Roman" w:hAnsi="Times New Roman" w:eastAsia="楷体_GB2312" w:cs="Times New Roman"/>
          <w:b w:val="0"/>
        </w:rPr>
        <w:t>（六）实施文化产业“倍增计划”</w:t>
      </w:r>
    </w:p>
    <w:bookmarkEnd w:id="96"/>
    <w:bookmarkEnd w:id="97"/>
    <w:bookmarkEnd w:id="98"/>
    <w:bookmarkEnd w:id="99"/>
    <w:p>
      <w:pPr>
        <w:spacing w:line="560" w:lineRule="exact"/>
        <w:ind w:firstLine="643" w:firstLineChars="200"/>
        <w:rPr>
          <w:rFonts w:ascii="Times New Roman" w:eastAsia="仿宋_GB2312"/>
          <w:bCs/>
          <w:szCs w:val="32"/>
        </w:rPr>
      </w:pPr>
      <w:bookmarkStart w:id="100" w:name="_Toc14835"/>
      <w:bookmarkStart w:id="101" w:name="_Toc22174"/>
      <w:bookmarkStart w:id="102" w:name="_Toc8751"/>
      <w:bookmarkStart w:id="103" w:name="_Toc24192"/>
      <w:r>
        <w:rPr>
          <w:rStyle w:val="10"/>
          <w:rFonts w:ascii="Times New Roman" w:eastAsia="仿宋_GB2312"/>
        </w:rPr>
        <w:t xml:space="preserve">1. </w:t>
      </w:r>
      <w:r>
        <w:rPr>
          <w:rFonts w:ascii="Times New Roman" w:eastAsia="仿宋_GB2312"/>
          <w:b/>
          <w:szCs w:val="32"/>
        </w:rPr>
        <w:t>推动文化产业成为国民经济重要支柱产业</w:t>
      </w:r>
      <w:r>
        <w:rPr>
          <w:rFonts w:ascii="Times New Roman" w:eastAsia="仿宋_GB2312"/>
          <w:bCs/>
          <w:szCs w:val="32"/>
        </w:rPr>
        <w:t>。</w:t>
      </w:r>
      <w:r>
        <w:rPr>
          <w:rStyle w:val="10"/>
          <w:rFonts w:ascii="Times New Roman" w:eastAsia="仿宋_GB2312"/>
          <w:b w:val="0"/>
          <w:bCs w:val="0"/>
        </w:rPr>
        <w:t>深化文化产业供给侧结构性改革，加</w:t>
      </w:r>
      <w:r>
        <w:rPr>
          <w:rFonts w:ascii="Times New Roman" w:eastAsia="仿宋_GB2312"/>
          <w:bCs/>
          <w:szCs w:val="32"/>
        </w:rPr>
        <w:t>大对重点领域文化产业扶持力度。大力推进文化产业“上云用数赋智”，促进5G、物联网、云计算、大数据、人工智能等新技术在文化产业领域深度应用。加快与数字经济时代相适应的文化产业门类和业态发展。大力推进文化与旅游、科技、商贸、农业等相关产业融合发展，扶持新型文化消费业态。到2025年，实现规模以上文化企业不低于150家，力争文化产业增加值占地区生产总值比重达10%左右</w:t>
      </w:r>
      <w:r>
        <w:rPr>
          <w:rStyle w:val="10"/>
          <w:rFonts w:ascii="Times New Roman" w:eastAsia="仿宋_GB2312"/>
          <w:b w:val="0"/>
          <w:bCs w:val="0"/>
        </w:rPr>
        <w:t>。</w:t>
      </w:r>
    </w:p>
    <w:p>
      <w:pPr>
        <w:spacing w:line="580" w:lineRule="exact"/>
        <w:ind w:firstLine="643" w:firstLineChars="200"/>
        <w:rPr>
          <w:rFonts w:ascii="Times New Roman" w:eastAsia="仿宋_GB2312"/>
          <w:b/>
          <w:szCs w:val="32"/>
        </w:rPr>
      </w:pPr>
      <w:r>
        <w:rPr>
          <w:rFonts w:ascii="Times New Roman" w:eastAsia="仿宋_GB2312"/>
          <w:b/>
          <w:szCs w:val="32"/>
        </w:rPr>
        <w:t>2. 以重点文化产业引领“倍增”发展</w:t>
      </w:r>
      <w:r>
        <w:rPr>
          <w:rFonts w:ascii="Times New Roman" w:eastAsia="仿宋_GB2312"/>
          <w:bCs/>
          <w:szCs w:val="32"/>
        </w:rPr>
        <w:t>。</w:t>
      </w:r>
      <w:r>
        <w:rPr>
          <w:rFonts w:ascii="Times New Roman" w:eastAsia="仿宋_GB2312"/>
          <w:szCs w:val="32"/>
        </w:rPr>
        <w:t>实施文化和科技融合发展工程，扎实推进文化产业数字化，加快数字传媒、电子竞技、数字文创等数字文化产业发展。牢牢把握打造沪苏同城“桥头堡”发展机遇，围绕做大做强电子竞技产业加强与上海深度对接，积极构建“沪太”跨区域电子竞技产业生态，形成紧密型产业分工协作。支持电子竞技IP全产业链开发。大力促进具有江南文化特征的</w:t>
      </w:r>
      <w:r>
        <w:rPr>
          <w:rFonts w:ascii="Times New Roman" w:eastAsia="仿宋_GB2312"/>
          <w:szCs w:val="32"/>
          <w:lang w:val="zh-CN"/>
        </w:rPr>
        <w:t>工艺美术</w:t>
      </w:r>
      <w:r>
        <w:rPr>
          <w:rFonts w:ascii="Times New Roman" w:eastAsia="仿宋_GB2312"/>
          <w:szCs w:val="32"/>
        </w:rPr>
        <w:t>产业，</w:t>
      </w:r>
      <w:r>
        <w:rPr>
          <w:rFonts w:ascii="Times New Roman" w:eastAsia="仿宋_GB2312"/>
          <w:szCs w:val="32"/>
          <w:lang w:val="zh-CN"/>
        </w:rPr>
        <w:t>支持老字号、</w:t>
      </w:r>
      <w:r>
        <w:rPr>
          <w:rFonts w:ascii="Times New Roman" w:eastAsia="仿宋_GB2312"/>
          <w:szCs w:val="32"/>
        </w:rPr>
        <w:t>老</w:t>
      </w:r>
      <w:r>
        <w:rPr>
          <w:rFonts w:ascii="Times New Roman" w:eastAsia="仿宋_GB2312"/>
          <w:szCs w:val="32"/>
          <w:lang w:val="zh-CN"/>
        </w:rPr>
        <w:t>工艺、土特产、</w:t>
      </w:r>
      <w:r>
        <w:rPr>
          <w:rFonts w:ascii="Times New Roman" w:eastAsia="仿宋_GB2312"/>
          <w:szCs w:val="32"/>
        </w:rPr>
        <w:t>传统</w:t>
      </w:r>
      <w:r>
        <w:rPr>
          <w:rFonts w:ascii="Times New Roman" w:eastAsia="仿宋_GB2312"/>
          <w:szCs w:val="32"/>
          <w:lang w:val="zh-CN"/>
        </w:rPr>
        <w:t>美食创新开发，</w:t>
      </w:r>
      <w:r>
        <w:rPr>
          <w:rFonts w:ascii="Times New Roman" w:eastAsia="仿宋_GB2312"/>
          <w:szCs w:val="32"/>
        </w:rPr>
        <w:t>支持太仓肉松、太仓糟油、红木雕刻、双凤龙狮制作等相关企业改善条件、拓展经营、创新发展，系列化推出</w:t>
      </w:r>
      <w:r>
        <w:rPr>
          <w:rFonts w:ascii="Times New Roman" w:eastAsia="仿宋_GB2312"/>
          <w:szCs w:val="32"/>
          <w:lang w:val="zh-CN"/>
        </w:rPr>
        <w:t>“‘</w:t>
      </w:r>
      <w:r>
        <w:rPr>
          <w:rFonts w:ascii="Times New Roman" w:eastAsia="仿宋_GB2312"/>
          <w:szCs w:val="32"/>
        </w:rPr>
        <w:t>江海造物</w:t>
      </w:r>
      <w:r>
        <w:rPr>
          <w:rFonts w:ascii="Times New Roman" w:eastAsia="仿宋_GB2312"/>
          <w:szCs w:val="32"/>
          <w:lang w:val="zh-CN"/>
        </w:rPr>
        <w:t>’</w:t>
      </w:r>
      <w:r>
        <w:rPr>
          <w:rFonts w:ascii="Times New Roman" w:eastAsia="仿宋_GB2312"/>
          <w:szCs w:val="32"/>
        </w:rPr>
        <w:t>太仓文创</w:t>
      </w:r>
      <w:r>
        <w:rPr>
          <w:rFonts w:ascii="Times New Roman" w:eastAsia="仿宋_GB2312"/>
          <w:szCs w:val="32"/>
          <w:lang w:val="zh-CN"/>
        </w:rPr>
        <w:t>”。</w:t>
      </w:r>
      <w:r>
        <w:rPr>
          <w:rFonts w:ascii="Times New Roman" w:eastAsia="仿宋_GB2312"/>
          <w:szCs w:val="32"/>
        </w:rPr>
        <w:t>深化传统工艺产业</w:t>
      </w:r>
      <w:r>
        <w:rPr>
          <w:rFonts w:ascii="Times New Roman" w:eastAsia="仿宋_GB2312"/>
          <w:szCs w:val="32"/>
          <w:lang w:val="zh-CN"/>
        </w:rPr>
        <w:t>数字</w:t>
      </w:r>
      <w:r>
        <w:rPr>
          <w:rFonts w:ascii="Times New Roman" w:eastAsia="仿宋_GB2312"/>
          <w:szCs w:val="32"/>
        </w:rPr>
        <w:t>化</w:t>
      </w:r>
      <w:r>
        <w:rPr>
          <w:rFonts w:ascii="Times New Roman" w:eastAsia="仿宋_GB2312"/>
          <w:szCs w:val="32"/>
          <w:lang w:val="zh-CN"/>
        </w:rPr>
        <w:t>发展，支持</w:t>
      </w:r>
      <w:r>
        <w:rPr>
          <w:rFonts w:ascii="Times New Roman" w:eastAsia="仿宋_GB2312"/>
          <w:szCs w:val="32"/>
        </w:rPr>
        <w:t>地方特色</w:t>
      </w:r>
      <w:r>
        <w:rPr>
          <w:rFonts w:ascii="Times New Roman" w:eastAsia="仿宋_GB2312"/>
          <w:szCs w:val="32"/>
          <w:lang w:val="zh-CN"/>
        </w:rPr>
        <w:t>传统工艺元素植入影视、动漫</w:t>
      </w:r>
      <w:r>
        <w:rPr>
          <w:rFonts w:ascii="Times New Roman" w:eastAsia="仿宋_GB2312"/>
          <w:szCs w:val="32"/>
        </w:rPr>
        <w:t>和电子竞技</w:t>
      </w:r>
      <w:r>
        <w:rPr>
          <w:rFonts w:ascii="Times New Roman" w:eastAsia="仿宋_GB2312"/>
          <w:szCs w:val="32"/>
          <w:lang w:val="zh-CN"/>
        </w:rPr>
        <w:t>产品。</w:t>
      </w:r>
      <w:r>
        <w:rPr>
          <w:rFonts w:ascii="Times New Roman" w:eastAsia="仿宋_GB2312"/>
          <w:bCs/>
          <w:szCs w:val="32"/>
        </w:rPr>
        <w:t>部署和实施一批重大文化旅游产业项目，依托复星复游城等重大项目，全面带动城市旅游、古镇旅游、乡村旅游。支持沙</w:t>
      </w:r>
      <w:r>
        <w:rPr>
          <w:rFonts w:ascii="Times New Roman" w:eastAsia="仿宋_GB2312"/>
          <w:szCs w:val="32"/>
        </w:rPr>
        <w:t>溪、双凤、浮桥、浏河、璜泾等镇村，发展乡村特色文化旅游。</w:t>
      </w:r>
      <w:r>
        <w:rPr>
          <w:rFonts w:ascii="Times New Roman" w:eastAsia="仿宋_GB2312"/>
          <w:bCs/>
          <w:szCs w:val="32"/>
        </w:rPr>
        <w:t>扶持特色旅游演艺产业，结合“郑和航海”“江南丝竹”等</w:t>
      </w:r>
      <w:r>
        <w:rPr>
          <w:rFonts w:ascii="Times New Roman" w:eastAsia="仿宋_GB2312"/>
          <w:bCs/>
          <w:szCs w:val="32"/>
          <w:lang w:val="zh-CN"/>
        </w:rPr>
        <w:t>打造</w:t>
      </w:r>
      <w:r>
        <w:rPr>
          <w:rFonts w:ascii="Times New Roman" w:eastAsia="仿宋_GB2312"/>
          <w:bCs/>
          <w:szCs w:val="32"/>
        </w:rPr>
        <w:t>特色</w:t>
      </w:r>
      <w:r>
        <w:rPr>
          <w:rFonts w:ascii="Times New Roman" w:eastAsia="仿宋_GB2312"/>
          <w:bCs/>
          <w:szCs w:val="32"/>
          <w:lang w:val="zh-CN"/>
        </w:rPr>
        <w:t>演艺精品，鼓励</w:t>
      </w:r>
      <w:r>
        <w:rPr>
          <w:rFonts w:ascii="Times New Roman" w:eastAsia="仿宋_GB2312"/>
          <w:bCs/>
          <w:szCs w:val="32"/>
        </w:rPr>
        <w:t>古镇老街及</w:t>
      </w:r>
      <w:r>
        <w:rPr>
          <w:rFonts w:ascii="Times New Roman" w:eastAsia="仿宋_GB2312"/>
          <w:bCs/>
          <w:szCs w:val="32"/>
          <w:lang w:val="zh-CN"/>
        </w:rPr>
        <w:t>重要</w:t>
      </w:r>
      <w:r>
        <w:rPr>
          <w:rFonts w:ascii="Times New Roman" w:eastAsia="仿宋_GB2312"/>
          <w:bCs/>
          <w:szCs w:val="32"/>
        </w:rPr>
        <w:t>景区景点引入</w:t>
      </w:r>
      <w:r>
        <w:rPr>
          <w:rFonts w:ascii="Times New Roman" w:eastAsia="仿宋_GB2312"/>
          <w:bCs/>
          <w:szCs w:val="32"/>
          <w:lang w:val="zh-CN"/>
        </w:rPr>
        <w:t>精品演出</w:t>
      </w:r>
      <w:r>
        <w:rPr>
          <w:rFonts w:ascii="Times New Roman" w:eastAsia="仿宋_GB2312"/>
          <w:bCs/>
          <w:szCs w:val="32"/>
        </w:rPr>
        <w:t>。</w:t>
      </w:r>
      <w:r>
        <w:rPr>
          <w:rFonts w:ascii="Times New Roman" w:eastAsia="仿宋_GB2312"/>
          <w:szCs w:val="32"/>
        </w:rPr>
        <w:t>吸引上海及国内外文化装备制造企业落户太仓，全面提升我市高科技文化装备产业方面的竞</w:t>
      </w:r>
      <w:r>
        <w:rPr>
          <w:rFonts w:ascii="Times New Roman" w:eastAsia="仿宋_GB2312"/>
          <w:bCs/>
          <w:szCs w:val="32"/>
        </w:rPr>
        <w:t>争力。重点加快发展数字文化产业，聚焦电子竞技、动漫游戏、影视音乐、网络文化等细分行业，拓展创意设计、演艺娱乐、文旅融合、工艺美术、现代包装等重点领域，大力推进数字文化与相关产业融合发展。</w:t>
      </w:r>
    </w:p>
    <w:p>
      <w:pPr>
        <w:spacing w:line="580" w:lineRule="exact"/>
        <w:ind w:firstLine="643" w:firstLineChars="200"/>
        <w:rPr>
          <w:rFonts w:ascii="Times New Roman" w:eastAsia="仿宋_GB2312"/>
          <w:szCs w:val="32"/>
        </w:rPr>
      </w:pPr>
      <w:r>
        <w:rPr>
          <w:rFonts w:ascii="Times New Roman" w:eastAsia="仿宋_GB2312"/>
          <w:b/>
          <w:szCs w:val="32"/>
        </w:rPr>
        <w:t>3. 推动文化产业加速“倍增”转型</w:t>
      </w:r>
      <w:r>
        <w:rPr>
          <w:rFonts w:ascii="Times New Roman" w:eastAsia="仿宋_GB2312"/>
          <w:bCs/>
          <w:szCs w:val="32"/>
        </w:rPr>
        <w:t>。</w:t>
      </w:r>
      <w:r>
        <w:rPr>
          <w:rFonts w:ascii="Times New Roman" w:eastAsia="仿宋_GB2312"/>
          <w:szCs w:val="32"/>
        </w:rPr>
        <w:t>支持文化产业园区调整结构、转型升级，加强与西北工业大学、中科院计算所太仓分所等高校院所的合作，建设大学文创园，带动本土原创文化产业转型升级。加强与头部文娱企业、机构的合作，带动传统文化产业向数字娱乐、数字影音、数字阅读、数字印刷、知识服务等新业态升级。支持举</w:t>
      </w:r>
      <w:r>
        <w:rPr>
          <w:rFonts w:ascii="Times New Roman" w:eastAsia="仿宋_GB2312"/>
          <w:bCs/>
          <w:szCs w:val="32"/>
        </w:rPr>
        <w:t>办电子竞技产业展会、赛事等活动</w:t>
      </w:r>
      <w:bookmarkStart w:id="104" w:name="_Toc20491"/>
      <w:bookmarkStart w:id="105" w:name="_Toc16403"/>
      <w:bookmarkStart w:id="106" w:name="_Toc19364"/>
      <w:bookmarkStart w:id="107" w:name="_Toc5047"/>
      <w:r>
        <w:rPr>
          <w:rFonts w:ascii="Times New Roman" w:eastAsia="仿宋_GB2312"/>
          <w:bCs/>
          <w:szCs w:val="32"/>
        </w:rPr>
        <w:t>，</w:t>
      </w:r>
      <w:bookmarkEnd w:id="104"/>
      <w:bookmarkEnd w:id="105"/>
      <w:bookmarkEnd w:id="106"/>
      <w:bookmarkEnd w:id="107"/>
      <w:r>
        <w:rPr>
          <w:rFonts w:ascii="Times New Roman" w:eastAsia="仿宋_GB2312"/>
          <w:bCs/>
          <w:szCs w:val="32"/>
        </w:rPr>
        <w:t>加快推进新动力越野基地、华丽菲尼克斯度假村户外拓展基地建设，吸引国家知名体育赛事落户太仓。</w:t>
      </w:r>
      <w:r>
        <w:rPr>
          <w:rFonts w:ascii="Times New Roman" w:eastAsia="仿宋_GB2312"/>
          <w:szCs w:val="32"/>
        </w:rPr>
        <w:t>推动冰雪、户外运动、马术、电子竞技等时尚运动项目健康发展，进一步拓展体育运动消费新空间，做精做深体育项目消费体验。实施主流媒体品牌创新工程，加快智慧广电媒体建设，培育5G条件下更高技术格式、更新应用场景、更美视听体验的高新视频服务新业态，形成多元化的商业模式。</w:t>
      </w:r>
      <w:r>
        <w:rPr>
          <w:rFonts w:ascii="Times New Roman" w:eastAsia="仿宋_GB2312"/>
          <w:bCs/>
          <w:szCs w:val="32"/>
          <w:lang w:val="zh-CN"/>
        </w:rPr>
        <w:t>鼓励社会资本</w:t>
      </w:r>
      <w:r>
        <w:rPr>
          <w:rFonts w:ascii="Times New Roman" w:eastAsia="仿宋_GB2312"/>
          <w:bCs/>
          <w:szCs w:val="32"/>
        </w:rPr>
        <w:t>参与</w:t>
      </w:r>
      <w:r>
        <w:rPr>
          <w:rFonts w:ascii="Times New Roman" w:eastAsia="仿宋_GB2312"/>
          <w:bCs/>
          <w:szCs w:val="32"/>
          <w:lang w:val="zh-CN"/>
        </w:rPr>
        <w:t>剧场、</w:t>
      </w:r>
      <w:r>
        <w:rPr>
          <w:rFonts w:ascii="Times New Roman" w:eastAsia="仿宋_GB2312"/>
          <w:bCs/>
          <w:szCs w:val="32"/>
        </w:rPr>
        <w:t>音乐厅、演艺综合体及体育场馆建设和运营，支持</w:t>
      </w:r>
      <w:r>
        <w:rPr>
          <w:rFonts w:ascii="Times New Roman" w:eastAsia="仿宋_GB2312"/>
          <w:bCs/>
          <w:szCs w:val="32"/>
          <w:lang w:val="zh-CN"/>
        </w:rPr>
        <w:t>引进知名演艺团体，</w:t>
      </w:r>
      <w:r>
        <w:rPr>
          <w:rFonts w:ascii="Times New Roman" w:eastAsia="仿宋_GB2312"/>
          <w:bCs/>
          <w:szCs w:val="32"/>
        </w:rPr>
        <w:t>盘活用好</w:t>
      </w:r>
      <w:r>
        <w:rPr>
          <w:rFonts w:ascii="Times New Roman" w:eastAsia="仿宋_GB2312"/>
          <w:bCs/>
          <w:szCs w:val="32"/>
          <w:lang w:val="zh-CN"/>
        </w:rPr>
        <w:t>现有剧场，</w:t>
      </w:r>
      <w:r>
        <w:rPr>
          <w:rFonts w:ascii="Times New Roman" w:eastAsia="仿宋_GB2312"/>
          <w:bCs/>
          <w:szCs w:val="32"/>
        </w:rPr>
        <w:t>持续推出</w:t>
      </w:r>
      <w:r>
        <w:rPr>
          <w:rFonts w:ascii="Times New Roman" w:eastAsia="仿宋_GB2312"/>
          <w:bCs/>
          <w:szCs w:val="32"/>
          <w:lang w:val="zh-CN"/>
        </w:rPr>
        <w:t>驻场演出</w:t>
      </w:r>
      <w:r>
        <w:rPr>
          <w:rFonts w:ascii="Times New Roman" w:eastAsia="仿宋_GB2312"/>
          <w:bCs/>
          <w:szCs w:val="32"/>
        </w:rPr>
        <w:t>精品</w:t>
      </w:r>
      <w:r>
        <w:rPr>
          <w:rFonts w:ascii="Times New Roman" w:eastAsia="仿宋_GB2312"/>
          <w:bCs/>
          <w:szCs w:val="32"/>
          <w:lang w:val="zh-CN"/>
        </w:rPr>
        <w:t>。</w:t>
      </w:r>
    </w:p>
    <w:p>
      <w:pPr>
        <w:spacing w:line="580" w:lineRule="exact"/>
        <w:ind w:firstLine="643" w:firstLineChars="200"/>
        <w:rPr>
          <w:rFonts w:ascii="Times New Roman" w:eastAsia="仿宋_GB2312"/>
          <w:szCs w:val="32"/>
        </w:rPr>
      </w:pPr>
      <w:r>
        <w:rPr>
          <w:rFonts w:ascii="Times New Roman" w:eastAsia="仿宋_GB2312"/>
          <w:b/>
          <w:bCs/>
          <w:szCs w:val="32"/>
        </w:rPr>
        <w:t>4. 创新文化产业“倍增”机制</w:t>
      </w:r>
      <w:r>
        <w:rPr>
          <w:rFonts w:ascii="Times New Roman" w:eastAsia="仿宋_GB2312"/>
          <w:szCs w:val="32"/>
        </w:rPr>
        <w:t>。实施一批有投资强度、有产业规模、有市场潜力的文体旅高度融合产业项目。全面提升“天镜湖文化科技产业园”服务能级，健全信息服务、技术研发、产融对接、企业孵化、人才支撑、展示交易、品牌推广等功能，加大文化产业龙头企业、领军企业、小巨人企业培育力度，扶持文化产业领域“专精特新”中小企业，着力推动主业突出、优势明显、信誉良好的骨干文化企业成长为全省乃至全国有影响力的骨干企业。开展“文创产品设计大赛”年度评选活动，培育更多文化自主知识产权。用好用活沪苏同城 “桥头堡”机制，大力引进文化产业领域高端专业人才、经营管理人才、创意策划人才、市场拓展人才等，大力推动重大文化产业项目或重点企业上市融资，大力支持本土文化企业跨区域合作、以小引大。加强与海上</w:t>
      </w:r>
      <w:r>
        <w:rPr>
          <w:rFonts w:ascii="Times New Roman" w:eastAsia="仿宋_GB2312"/>
          <w:bCs/>
          <w:szCs w:val="32"/>
        </w:rPr>
        <w:t>丝绸之路沿线国家、城市联系，积极参与“一带一路”文化和体育交流合作</w:t>
      </w:r>
      <w:bookmarkStart w:id="108" w:name="_Toc29847"/>
      <w:bookmarkStart w:id="109" w:name="_Toc26728"/>
      <w:bookmarkStart w:id="110" w:name="_Toc14579"/>
      <w:bookmarkStart w:id="111" w:name="_Toc18978"/>
      <w:r>
        <w:rPr>
          <w:rFonts w:ascii="Times New Roman" w:eastAsia="仿宋_GB2312"/>
          <w:bCs/>
          <w:szCs w:val="32"/>
        </w:rPr>
        <w:t>，促进太仓特色网络视听、电子竞技、动漫游戏、演艺娱乐、传统工艺、数字文创、国际旅游等对外文化服务贸易发展。</w:t>
      </w:r>
      <w:bookmarkEnd w:id="108"/>
      <w:bookmarkEnd w:id="109"/>
      <w:bookmarkEnd w:id="110"/>
      <w:bookmarkEnd w:id="111"/>
      <w:r>
        <w:rPr>
          <w:rFonts w:ascii="Times New Roman" w:eastAsia="仿宋_GB2312"/>
          <w:szCs w:val="32"/>
        </w:rPr>
        <w:t>加大太仓文化产品国际推广，支持外向型文化企业拓展国际市场，推动太仓优秀文化产品走出去。</w:t>
      </w:r>
    </w:p>
    <w:bookmarkEnd w:id="100"/>
    <w:bookmarkEnd w:id="101"/>
    <w:bookmarkEnd w:id="102"/>
    <w:bookmarkEnd w:id="103"/>
    <w:tbl>
      <w:tblPr>
        <w:tblStyle w:val="8"/>
        <w:tblpPr w:leftFromText="180" w:rightFromText="180" w:vertAnchor="text" w:horzAnchor="page" w:tblpXSpec="center" w:tblpY="543"/>
        <w:tblOverlap w:val="never"/>
        <w:tblW w:w="8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4" w:type="dxa"/>
            <w:tcBorders>
              <w:top w:val="single" w:color="auto" w:sz="4" w:space="0"/>
              <w:left w:val="single" w:color="auto" w:sz="4" w:space="0"/>
              <w:bottom w:val="single" w:color="auto" w:sz="4" w:space="0"/>
              <w:right w:val="single" w:color="auto" w:sz="4" w:space="0"/>
            </w:tcBorders>
            <w:vAlign w:val="center"/>
          </w:tcPr>
          <w:p>
            <w:pPr>
              <w:pStyle w:val="4"/>
              <w:widowControl/>
              <w:snapToGrid w:val="0"/>
              <w:spacing w:line="480" w:lineRule="exact"/>
              <w:jc w:val="center"/>
              <w:rPr>
                <w:rFonts w:ascii="Times New Roman" w:eastAsia="黑体"/>
                <w:bCs/>
                <w:spacing w:val="0"/>
                <w:sz w:val="21"/>
                <w:szCs w:val="21"/>
              </w:rPr>
            </w:pPr>
            <w:r>
              <w:rPr>
                <w:rFonts w:ascii="Times New Roman" w:eastAsia="黑体"/>
                <w:bCs/>
                <w:spacing w:val="0"/>
                <w:sz w:val="21"/>
                <w:szCs w:val="21"/>
              </w:rPr>
              <w:t>专栏7  文体产业倍增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4" w:type="dxa"/>
            <w:tcBorders>
              <w:top w:val="single" w:color="auto" w:sz="4" w:space="0"/>
              <w:left w:val="single" w:color="auto" w:sz="4" w:space="0"/>
              <w:bottom w:val="single" w:color="auto" w:sz="4" w:space="0"/>
              <w:right w:val="single" w:color="auto" w:sz="4" w:space="0"/>
            </w:tcBorders>
            <w:vAlign w:val="center"/>
          </w:tcPr>
          <w:p>
            <w:pPr>
              <w:pStyle w:val="6"/>
              <w:snapToGrid w:val="0"/>
              <w:spacing w:before="0" w:after="0" w:line="480" w:lineRule="exact"/>
              <w:ind w:firstLine="422" w:firstLineChars="200"/>
              <w:jc w:val="left"/>
              <w:rPr>
                <w:rFonts w:eastAsia="仿宋_GB2312"/>
                <w:sz w:val="21"/>
                <w:szCs w:val="21"/>
              </w:rPr>
            </w:pPr>
            <w:r>
              <w:rPr>
                <w:rFonts w:eastAsia="仿宋_GB2312"/>
                <w:b/>
                <w:bCs/>
                <w:sz w:val="21"/>
                <w:szCs w:val="21"/>
              </w:rPr>
              <w:t>文化产业数字化提升工程</w:t>
            </w:r>
            <w:r>
              <w:rPr>
                <w:rFonts w:eastAsia="仿宋_GB2312"/>
                <w:sz w:val="21"/>
                <w:szCs w:val="21"/>
              </w:rPr>
              <w:t>：对接国家、省、苏州市文化大数据体系建设工程以及媒体融合、</w:t>
            </w:r>
            <w:r>
              <w:rPr>
                <w:rFonts w:eastAsia="仿宋_GB2312"/>
                <w:sz w:val="21"/>
                <w:szCs w:val="21"/>
                <w:lang w:val="zh-CN"/>
              </w:rPr>
              <w:t>网络视听、高新视频、智慧广电</w:t>
            </w:r>
            <w:r>
              <w:rPr>
                <w:rFonts w:eastAsia="仿宋_GB2312"/>
                <w:sz w:val="21"/>
                <w:szCs w:val="21"/>
              </w:rPr>
              <w:t>等</w:t>
            </w:r>
            <w:r>
              <w:rPr>
                <w:rFonts w:eastAsia="仿宋_GB2312"/>
                <w:sz w:val="21"/>
                <w:szCs w:val="21"/>
                <w:lang w:val="zh-CN"/>
              </w:rPr>
              <w:t>产业</w:t>
            </w:r>
            <w:r>
              <w:rPr>
                <w:rFonts w:eastAsia="仿宋_GB2312"/>
                <w:sz w:val="21"/>
                <w:szCs w:val="21"/>
              </w:rPr>
              <w:t>工程</w:t>
            </w:r>
            <w:r>
              <w:rPr>
                <w:rFonts w:eastAsia="仿宋_GB2312"/>
                <w:sz w:val="21"/>
                <w:szCs w:val="21"/>
                <w:lang w:val="zh-CN"/>
              </w:rPr>
              <w:t>项目，</w:t>
            </w:r>
            <w:r>
              <w:rPr>
                <w:rFonts w:eastAsia="仿宋_GB2312"/>
                <w:sz w:val="21"/>
                <w:szCs w:val="21"/>
              </w:rPr>
              <w:t>加快推进智慧广电、电子竞技、数字文创、在线教育等重点项目建设，全面推动文化产业数字化升级。</w:t>
            </w:r>
          </w:p>
          <w:p>
            <w:pPr>
              <w:pStyle w:val="6"/>
              <w:snapToGrid w:val="0"/>
              <w:spacing w:before="0" w:after="0" w:line="480" w:lineRule="exact"/>
              <w:ind w:firstLine="422" w:firstLineChars="200"/>
              <w:jc w:val="left"/>
              <w:rPr>
                <w:rFonts w:eastAsia="仿宋_GB2312"/>
                <w:sz w:val="21"/>
                <w:szCs w:val="21"/>
              </w:rPr>
            </w:pPr>
            <w:r>
              <w:rPr>
                <w:rFonts w:eastAsia="仿宋_GB2312"/>
                <w:b/>
                <w:bCs/>
                <w:sz w:val="21"/>
                <w:szCs w:val="21"/>
              </w:rPr>
              <w:t>文化产业园区扶持工程</w:t>
            </w:r>
            <w:r>
              <w:rPr>
                <w:rFonts w:eastAsia="仿宋_GB2312"/>
                <w:sz w:val="21"/>
                <w:szCs w:val="21"/>
              </w:rPr>
              <w:t>：提升天镜湖文化科技产业园建设水平，支持园区联合高校、院所承担国家、省、苏州市文化科技创新项目，集聚自主创新要素，完善信息服务、技术研发、产融对接、企业孵化、人才支撑、展示交易、品牌推广等全链条服务功能，使之成为文化和科技融合创新大平台。</w:t>
            </w:r>
          </w:p>
          <w:p>
            <w:pPr>
              <w:pStyle w:val="6"/>
              <w:snapToGrid w:val="0"/>
              <w:spacing w:before="0" w:after="0" w:line="480" w:lineRule="exact"/>
              <w:ind w:firstLine="422" w:firstLineChars="200"/>
              <w:jc w:val="left"/>
              <w:rPr>
                <w:rFonts w:eastAsia="仿宋_GB2312"/>
                <w:sz w:val="21"/>
                <w:szCs w:val="21"/>
              </w:rPr>
            </w:pPr>
            <w:r>
              <w:rPr>
                <w:rFonts w:eastAsia="仿宋_GB2312"/>
                <w:b/>
                <w:bCs/>
                <w:sz w:val="21"/>
                <w:szCs w:val="21"/>
              </w:rPr>
              <w:t>优秀传统文化产业改造提升工程</w:t>
            </w:r>
            <w:r>
              <w:rPr>
                <w:rFonts w:eastAsia="仿宋_GB2312"/>
                <w:sz w:val="21"/>
                <w:szCs w:val="21"/>
              </w:rPr>
              <w:t>：支持太仓肉松、太仓糟油、红木雕刻、双凤龙狮制作等有江南特色的技艺及相关企业改善条件、拓展经营、创新发展，支持传统工艺企业创意设计提升，</w:t>
            </w:r>
            <w:r>
              <w:rPr>
                <w:rFonts w:eastAsia="仿宋_GB2312"/>
                <w:sz w:val="21"/>
                <w:szCs w:val="21"/>
                <w:lang w:val="zh-CN"/>
              </w:rPr>
              <w:t>支持老字号、</w:t>
            </w:r>
            <w:r>
              <w:rPr>
                <w:rFonts w:eastAsia="仿宋_GB2312"/>
                <w:sz w:val="21"/>
                <w:szCs w:val="21"/>
              </w:rPr>
              <w:t>老</w:t>
            </w:r>
            <w:r>
              <w:rPr>
                <w:rFonts w:eastAsia="仿宋_GB2312"/>
                <w:sz w:val="21"/>
                <w:szCs w:val="21"/>
                <w:lang w:val="zh-CN"/>
              </w:rPr>
              <w:t>工艺、土特产、</w:t>
            </w:r>
            <w:r>
              <w:rPr>
                <w:rFonts w:eastAsia="仿宋_GB2312"/>
                <w:sz w:val="21"/>
                <w:szCs w:val="21"/>
              </w:rPr>
              <w:t>传统</w:t>
            </w:r>
            <w:r>
              <w:rPr>
                <w:rFonts w:eastAsia="仿宋_GB2312"/>
                <w:sz w:val="21"/>
                <w:szCs w:val="21"/>
                <w:lang w:val="zh-CN"/>
              </w:rPr>
              <w:t>美食创新开发“</w:t>
            </w:r>
            <w:r>
              <w:rPr>
                <w:rFonts w:eastAsia="仿宋_GB2312"/>
                <w:sz w:val="21"/>
                <w:szCs w:val="21"/>
              </w:rPr>
              <w:t>‘江海造物’太仓文创</w:t>
            </w:r>
            <w:r>
              <w:rPr>
                <w:rFonts w:eastAsia="仿宋_GB2312"/>
                <w:sz w:val="21"/>
                <w:szCs w:val="21"/>
                <w:lang w:val="zh-CN"/>
              </w:rPr>
              <w:t>”。</w:t>
            </w:r>
          </w:p>
          <w:p>
            <w:pPr>
              <w:pStyle w:val="6"/>
              <w:snapToGrid w:val="0"/>
              <w:spacing w:before="0" w:after="0" w:line="480" w:lineRule="exact"/>
              <w:ind w:firstLine="422" w:firstLineChars="200"/>
              <w:jc w:val="left"/>
              <w:rPr>
                <w:rFonts w:eastAsia="仿宋_GB2312"/>
                <w:sz w:val="21"/>
                <w:szCs w:val="21"/>
              </w:rPr>
            </w:pPr>
            <w:r>
              <w:rPr>
                <w:rFonts w:eastAsia="仿宋_GB2312"/>
                <w:b/>
                <w:bCs/>
                <w:sz w:val="21"/>
                <w:szCs w:val="21"/>
              </w:rPr>
              <w:t>体育</w:t>
            </w:r>
            <w:r>
              <w:rPr>
                <w:rFonts w:eastAsia="仿宋_GB2312"/>
                <w:b/>
                <w:bCs/>
                <w:sz w:val="21"/>
                <w:szCs w:val="21"/>
                <w:lang w:val="zh-CN"/>
              </w:rPr>
              <w:t>产业</w:t>
            </w:r>
            <w:r>
              <w:rPr>
                <w:rFonts w:eastAsia="仿宋_GB2312"/>
                <w:b/>
                <w:bCs/>
                <w:sz w:val="21"/>
                <w:szCs w:val="21"/>
              </w:rPr>
              <w:t>促进计划</w:t>
            </w:r>
            <w:r>
              <w:rPr>
                <w:rFonts w:eastAsia="仿宋_GB2312"/>
                <w:sz w:val="21"/>
                <w:szCs w:val="21"/>
                <w:lang w:val="zh-CN"/>
              </w:rPr>
              <w:t>：</w:t>
            </w:r>
            <w:r>
              <w:rPr>
                <w:rFonts w:eastAsia="仿宋_GB2312"/>
                <w:sz w:val="21"/>
                <w:szCs w:val="21"/>
              </w:rPr>
              <w:t>推进太仓体育产业转型升级，推进新动力越野基地、华丽菲尼克斯度假村户外拓展基地建设，推进“中德合作足球学校”项目，支持各领域发展乡村特色体育休闲旅游。</w:t>
            </w:r>
          </w:p>
        </w:tc>
      </w:tr>
      <w:bookmarkEnd w:id="95"/>
    </w:tbl>
    <w:p>
      <w:pPr>
        <w:pStyle w:val="2"/>
        <w:widowControl/>
        <w:spacing w:before="0" w:after="0" w:line="540" w:lineRule="exact"/>
        <w:ind w:firstLine="640" w:firstLineChars="200"/>
        <w:rPr>
          <w:rFonts w:ascii="Times New Roman" w:hAnsi="Times New Roman" w:eastAsia="楷体_GB2312" w:cs="Times New Roman"/>
          <w:b w:val="0"/>
        </w:rPr>
      </w:pPr>
      <w:r>
        <w:rPr>
          <w:rFonts w:ascii="Times New Roman" w:hAnsi="Times New Roman" w:eastAsia="楷体_GB2312" w:cs="Times New Roman"/>
          <w:b w:val="0"/>
        </w:rPr>
        <w:t>（七）扩大文化和体育交流合作</w:t>
      </w:r>
    </w:p>
    <w:p>
      <w:pPr>
        <w:spacing w:line="540" w:lineRule="exact"/>
        <w:ind w:firstLine="643" w:firstLineChars="200"/>
        <w:rPr>
          <w:rFonts w:ascii="Times New Roman" w:eastAsia="仿宋_GB2312"/>
          <w:bCs/>
          <w:szCs w:val="32"/>
        </w:rPr>
      </w:pPr>
      <w:bookmarkStart w:id="112" w:name="_Toc15659"/>
      <w:bookmarkStart w:id="113" w:name="_Toc28632"/>
      <w:bookmarkStart w:id="114" w:name="_Toc22771"/>
      <w:bookmarkStart w:id="115" w:name="_Toc31321"/>
      <w:r>
        <w:rPr>
          <w:rStyle w:val="10"/>
          <w:rFonts w:ascii="Times New Roman" w:eastAsia="仿宋_GB2312"/>
        </w:rPr>
        <w:t>1. 积极开展对外文化和体育交流合作</w:t>
      </w:r>
      <w:r>
        <w:rPr>
          <w:rStyle w:val="10"/>
          <w:rFonts w:ascii="Times New Roman" w:eastAsia="仿宋_GB2312"/>
          <w:b w:val="0"/>
          <w:bCs w:val="0"/>
        </w:rPr>
        <w:t>。推进与友好国家、地区和城市的文化和体育合作交流，建立有江南文化特征和太仓特点的对外交流话语，健全与经济、商贸合作相衔接的文化和体育交流合作机制，面向国内外讲好中国江南故事的太仓篇章，全面打响“金太仓”品牌。</w:t>
      </w:r>
      <w:bookmarkEnd w:id="112"/>
      <w:bookmarkEnd w:id="113"/>
      <w:bookmarkEnd w:id="114"/>
      <w:bookmarkEnd w:id="115"/>
      <w:r>
        <w:rPr>
          <w:rFonts w:ascii="Times New Roman" w:eastAsia="仿宋_GB2312"/>
          <w:szCs w:val="32"/>
        </w:rPr>
        <w:t>积极参与国家、省和苏州市文化和体育对外交流合作，办好各项友好城市文化和体育交流活动。</w:t>
      </w:r>
      <w:r>
        <w:rPr>
          <w:rFonts w:ascii="Times New Roman" w:eastAsia="仿宋_GB2312"/>
          <w:bCs/>
          <w:szCs w:val="32"/>
        </w:rPr>
        <w:t xml:space="preserve">加强对德文化体育交流与合作，推进开展“太仓中德文化艺术节”，持续办好“中德友谊杯”足球、乒乓球等赛事，邀请德国球队来太比赛，带动相关赛事传媒产业发展，争取“中德合作足球学校”早日落户太仓。 </w:t>
      </w:r>
    </w:p>
    <w:p>
      <w:pPr>
        <w:spacing w:line="540" w:lineRule="exact"/>
        <w:ind w:firstLine="643" w:firstLineChars="200"/>
        <w:rPr>
          <w:rFonts w:ascii="Times New Roman" w:eastAsia="仿宋_GB2312"/>
          <w:szCs w:val="32"/>
        </w:rPr>
      </w:pPr>
      <w:r>
        <w:rPr>
          <w:rStyle w:val="10"/>
          <w:rFonts w:ascii="Times New Roman" w:eastAsia="仿宋_GB2312"/>
        </w:rPr>
        <w:t>2. 积极开展体育品牌交流推广</w:t>
      </w:r>
      <w:r>
        <w:rPr>
          <w:rStyle w:val="10"/>
          <w:rFonts w:ascii="Times New Roman" w:eastAsia="仿宋_GB2312"/>
          <w:b w:val="0"/>
          <w:bCs w:val="0"/>
        </w:rPr>
        <w:t>。</w:t>
      </w:r>
      <w:r>
        <w:rPr>
          <w:rFonts w:ascii="Times New Roman" w:eastAsia="仿宋_GB2312"/>
          <w:szCs w:val="32"/>
        </w:rPr>
        <w:t>结合我市“武术之乡”“桥牌之乡”“龙狮之乡”“老年气排球之乡”等体育特色品牌，推动“泛沿江体育带”“长三角一体化”等全民健身主题活动广泛开展，力争打造具有全国影响力的群众体育对外交流的品牌赛事。</w:t>
      </w:r>
    </w:p>
    <w:p>
      <w:pPr>
        <w:spacing w:line="540" w:lineRule="exact"/>
        <w:ind w:firstLine="643" w:firstLineChars="200"/>
        <w:rPr>
          <w:rFonts w:ascii="Times New Roman" w:eastAsia="仿宋_GB2312"/>
          <w:bCs/>
          <w:szCs w:val="32"/>
        </w:rPr>
      </w:pPr>
      <w:r>
        <w:rPr>
          <w:rFonts w:ascii="Times New Roman" w:eastAsia="仿宋_GB2312"/>
          <w:b/>
          <w:szCs w:val="32"/>
        </w:rPr>
        <w:t>3. 扩大“太仓故事”国际传播</w:t>
      </w:r>
      <w:r>
        <w:rPr>
          <w:rFonts w:ascii="Times New Roman" w:eastAsia="仿宋_GB2312"/>
          <w:bCs/>
          <w:szCs w:val="32"/>
        </w:rPr>
        <w:t>。精心营造文化体育全域全产品全服务全链条品牌矩阵，整合政府、企业和社会多种力量和资源，健全全媒体精准传播推广机制，扩大“太仓故事”的国际传播和认同度。重点聚焦“中德文化和体育合作”，用好太仓“德国中心”独特资源，全面深化与德国及其他城市的文化和体育交流，努力在乡村文化、演艺娱乐、体育赛事、电子竞技等方面取得重大突破。</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560" w:lineRule="exact"/>
              <w:jc w:val="center"/>
              <w:rPr>
                <w:rFonts w:ascii="Times New Roman" w:eastAsia="黑体"/>
                <w:bCs/>
                <w:sz w:val="21"/>
                <w:szCs w:val="21"/>
              </w:rPr>
            </w:pPr>
            <w:r>
              <w:rPr>
                <w:rFonts w:ascii="Times New Roman" w:eastAsia="黑体"/>
                <w:bCs/>
                <w:sz w:val="21"/>
                <w:szCs w:val="21"/>
              </w:rPr>
              <w:t>专栏8  文化和体育交流合作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pStyle w:val="6"/>
              <w:snapToGrid w:val="0"/>
              <w:spacing w:before="0" w:after="0" w:line="460" w:lineRule="exact"/>
              <w:ind w:firstLine="422" w:firstLineChars="200"/>
              <w:jc w:val="left"/>
              <w:rPr>
                <w:rFonts w:eastAsia="仿宋_GB2312"/>
                <w:sz w:val="21"/>
                <w:szCs w:val="21"/>
              </w:rPr>
            </w:pPr>
            <w:r>
              <w:rPr>
                <w:rFonts w:eastAsia="仿宋_GB2312"/>
                <w:b/>
                <w:bCs/>
                <w:sz w:val="21"/>
                <w:szCs w:val="21"/>
              </w:rPr>
              <w:t>“金太仓”传播推广工程</w:t>
            </w:r>
            <w:r>
              <w:rPr>
                <w:rFonts w:eastAsia="仿宋_GB2312"/>
                <w:sz w:val="21"/>
                <w:szCs w:val="21"/>
              </w:rPr>
              <w:t>：构建文化体育全域全产品全服务全链条品牌矩阵，整合各路力量和资源，丰富内涵、汇集品牌，实施全媒体精准传播推广，打响“金太仓”品牌。</w:t>
            </w:r>
          </w:p>
          <w:p>
            <w:pPr>
              <w:spacing w:line="460" w:lineRule="exact"/>
              <w:ind w:firstLine="422" w:firstLineChars="200"/>
              <w:rPr>
                <w:rFonts w:ascii="Times New Roman" w:eastAsia="仿宋_GB2312"/>
                <w:bCs/>
                <w:sz w:val="21"/>
                <w:szCs w:val="21"/>
              </w:rPr>
            </w:pPr>
            <w:r>
              <w:rPr>
                <w:rFonts w:ascii="Times New Roman" w:eastAsia="仿宋_GB2312"/>
                <w:b/>
                <w:bCs/>
                <w:sz w:val="21"/>
                <w:szCs w:val="21"/>
              </w:rPr>
              <w:t>“中德文化和体育合作交流”工程</w:t>
            </w:r>
            <w:r>
              <w:rPr>
                <w:rFonts w:ascii="Times New Roman" w:eastAsia="仿宋_GB2312"/>
                <w:sz w:val="21"/>
                <w:szCs w:val="21"/>
              </w:rPr>
              <w:t>：用好“德国中心”独特资源，建立健全长期合作机制，周期性、项目化推进与德国及其城市的文化和体育交流，重点在乡村文化、演艺娱乐、体育赛事、网络电子竞技等方面取得进展。</w:t>
            </w:r>
          </w:p>
        </w:tc>
      </w:tr>
    </w:tbl>
    <w:p>
      <w:pPr>
        <w:spacing w:line="560" w:lineRule="exact"/>
        <w:ind w:firstLine="640" w:firstLineChars="200"/>
        <w:outlineLvl w:val="1"/>
        <w:rPr>
          <w:rFonts w:ascii="Times New Roman" w:eastAsia="黑体"/>
          <w:bCs/>
          <w:szCs w:val="32"/>
        </w:rPr>
      </w:pPr>
      <w:r>
        <w:rPr>
          <w:rFonts w:ascii="Times New Roman" w:eastAsia="黑体"/>
          <w:bCs/>
          <w:szCs w:val="32"/>
        </w:rPr>
        <w:t>四、保障措施</w:t>
      </w:r>
    </w:p>
    <w:p>
      <w:pPr>
        <w:spacing w:line="560" w:lineRule="exact"/>
        <w:ind w:firstLine="640" w:firstLineChars="200"/>
        <w:rPr>
          <w:rFonts w:ascii="Times New Roman" w:eastAsia="仿宋_GB2312"/>
          <w:bCs/>
          <w:szCs w:val="32"/>
        </w:rPr>
      </w:pPr>
      <w:r>
        <w:rPr>
          <w:rFonts w:ascii="Times New Roman" w:eastAsia="楷体_GB2312"/>
          <w:szCs w:val="32"/>
        </w:rPr>
        <w:t>（一）加强组织领导。</w:t>
      </w:r>
      <w:r>
        <w:rPr>
          <w:rFonts w:ascii="Times New Roman" w:eastAsia="仿宋_GB2312"/>
          <w:bCs/>
          <w:szCs w:val="32"/>
        </w:rPr>
        <w:t>立足增强文化自信、建设文化强市的战略高度，加强党对文化和体育发展的领导。健全党委统一领导，政府规划组织，党委宣传部门协调指导，文体广旅、文联、新闻出版、社科等部门具体落实，政府相关职能部门密切配合的工作机制。把文化和体育发展目标任务纳入经济社会发展总体规划，纳入国土空间规划，纳入党委政府重点工作，纳入财政经常性支出预算，纳入科学发展考评和领导干部政绩考核。形成以人民为中心，充分发挥人民群众参与热情，充分调动全体党员干部和文体工作者积极性创造性，凝聚各界智慧力量、振奋全民拼搏精神的发展氛围，共同推进文化和体育事业产业高质量发展。</w:t>
      </w:r>
    </w:p>
    <w:p>
      <w:pPr>
        <w:spacing w:line="560" w:lineRule="exact"/>
        <w:ind w:firstLine="640" w:firstLineChars="200"/>
        <w:rPr>
          <w:rFonts w:ascii="Times New Roman" w:eastAsia="仿宋_GB2312"/>
          <w:bCs/>
          <w:szCs w:val="32"/>
        </w:rPr>
      </w:pPr>
      <w:r>
        <w:rPr>
          <w:rFonts w:ascii="Times New Roman" w:eastAsia="楷体_GB2312"/>
          <w:szCs w:val="32"/>
        </w:rPr>
        <w:t>（二）创新管理方式。</w:t>
      </w:r>
      <w:r>
        <w:rPr>
          <w:rFonts w:ascii="Times New Roman" w:eastAsia="仿宋_GB2312"/>
          <w:bCs/>
          <w:szCs w:val="32"/>
        </w:rPr>
        <w:t>建立健全文化和体育领域“始终坚持把社会效益放在首位、实现社会效益和经济效益相统一”的政策和制度，确保文化和体育沿着正确方向稳步发展。深化文化、体育与旅游、科技、金融、商贸、农业等多领域融合发展，扩大领域开放，破除发展瓶颈，全面发挥市场在资源配置中的决定性作用。深化文化和体育领域“放管服”改革，推动文化产业和体育产业管理从事前审批向事中事后监管转变。强化文化和体育服务大数据决策支撑功能，提升政府管理部门决策分析、行业监管、统计分析、综合治理能力。</w:t>
      </w:r>
    </w:p>
    <w:p>
      <w:pPr>
        <w:spacing w:line="560" w:lineRule="exact"/>
        <w:ind w:firstLine="640" w:firstLineChars="200"/>
        <w:rPr>
          <w:rFonts w:ascii="Times New Roman" w:eastAsia="仿宋_GB2312"/>
          <w:bCs/>
          <w:szCs w:val="32"/>
        </w:rPr>
      </w:pPr>
      <w:r>
        <w:rPr>
          <w:rFonts w:ascii="Times New Roman" w:eastAsia="楷体_GB2312"/>
          <w:szCs w:val="32"/>
        </w:rPr>
        <w:t>（三）优化政策支持。</w:t>
      </w:r>
      <w:r>
        <w:rPr>
          <w:rFonts w:ascii="Times New Roman" w:eastAsia="仿宋_GB2312"/>
          <w:bCs/>
          <w:szCs w:val="32"/>
        </w:rPr>
        <w:t>优化文化和体育高质量发展政策供给，加大文化和体育事业产业发展资金支持力度，扶持重点领域、重点项目、重点产业、关键环节。扩大对文明城市创建、市民素质提升、文艺精品创作、江南文化建设、“娄东文化”研究的财政投入。建立公共文化服务财政支出稳定增长机制，以国家和地方标准为依据将公共文化服务经费纳入财政经常性支出预算。筹划设立文化和体育产业股权投资基金，实体性引导和支持文化和体育产业高质量发展。研究落实文化和体育重点行业和企业扶持政策，引导文化和体育企业加大研发投入、提升创新能力。适度扩大土地政策支持力度，优先保障重大文化和体育事业土地划拨和产业项目土地供应。支持盘活用好闲置厂房库房转型实施文化和体育产业项目，支持利用古镇老街、保护建筑兴办文化和旅游事业。</w:t>
      </w:r>
    </w:p>
    <w:p>
      <w:pPr>
        <w:spacing w:line="560" w:lineRule="exact"/>
        <w:ind w:firstLine="640" w:firstLineChars="200"/>
        <w:rPr>
          <w:rFonts w:ascii="Times New Roman" w:eastAsia="仿宋_GB2312"/>
          <w:bCs/>
          <w:szCs w:val="32"/>
        </w:rPr>
      </w:pPr>
      <w:r>
        <w:rPr>
          <w:rFonts w:ascii="Times New Roman" w:eastAsia="楷体_GB2312"/>
          <w:szCs w:val="32"/>
        </w:rPr>
        <w:t>（四）提升治理质量。</w:t>
      </w:r>
      <w:r>
        <w:rPr>
          <w:rFonts w:ascii="Times New Roman" w:eastAsia="仿宋_GB2312"/>
          <w:bCs/>
          <w:szCs w:val="32"/>
        </w:rPr>
        <w:t>坚持统筹文化、体育领域发展和安全，筑牢安全屏障，健全正确价值导向的舆论工作机制，健全重大舆情和突发事件引导机制。健全网络文化综合治理，确保网络文化安全。提升文艺创作、演艺娱乐、网络电子竞技品位格调和责任意识，抵制低俗庸俗媚俗。深化公共文化服务和体育公共服务标准化建设，提高城乡一体化发展和治理质量。深化文化和体育市场综合治理，提升执法能力和水平，坚持不懈“扫黑除恶”“扫黄打非”，加快完善实时化、常态化、智能化市场监管手段和机制。加强文化和体育领域诚信建设，实施“白名单”“黑名单”制度。健全文化和体育安全生产责任体系，实行“党政同责、一岗双责、齐抓共管、失职追责”。</w:t>
      </w:r>
    </w:p>
    <w:p>
      <w:pPr>
        <w:spacing w:line="560" w:lineRule="exact"/>
        <w:ind w:firstLine="640" w:firstLineChars="200"/>
        <w:rPr>
          <w:rFonts w:ascii="Times New Roman" w:eastAsia="仿宋_GB2312"/>
          <w:b/>
          <w:bCs/>
          <w:szCs w:val="32"/>
        </w:rPr>
      </w:pPr>
      <w:r>
        <w:rPr>
          <w:rFonts w:ascii="Times New Roman" w:eastAsia="楷体_GB2312"/>
          <w:szCs w:val="32"/>
        </w:rPr>
        <w:t>（五）加强人才工作。</w:t>
      </w:r>
      <w:r>
        <w:rPr>
          <w:rFonts w:ascii="Times New Roman" w:eastAsia="仿宋_GB2312"/>
          <w:bCs/>
          <w:szCs w:val="32"/>
        </w:rPr>
        <w:t>紧密结合现阶段及今后一段时期文化和体育事业产业发展所需，加强重点领域高端人才和紧缺人才引进，从优化人才工作、生活和发展环境的角度，提高对国内外高层次人才的吸引力。拓宽地校企联动范围和方式，支持文化和体育领域跨地区跨行业搭建人才培养基地，开拓文化和体育人才来源。高度重视本地优秀人才的再发现再培育，不断优化人才脱颖而出的遴选、发现、任用机制。关注基层人才队伍建设，鼓励青年人才到基层一线锻炼提升。精心规划设计优秀人才来太创业发展、展示才能的机制和项目，不断增强汇聚各路英才的能力。</w:t>
      </w:r>
    </w:p>
    <w:p>
      <w:pPr>
        <w:spacing w:line="560" w:lineRule="exact"/>
        <w:ind w:firstLine="640" w:firstLineChars="200"/>
        <w:rPr>
          <w:rFonts w:ascii="Times New Roman" w:eastAsia="仿宋_GB2312"/>
          <w:bCs/>
          <w:szCs w:val="32"/>
        </w:rPr>
      </w:pPr>
      <w:r>
        <w:rPr>
          <w:rFonts w:ascii="Times New Roman" w:eastAsia="楷体_GB2312"/>
          <w:szCs w:val="32"/>
        </w:rPr>
        <w:t>（六）规划组织实施。</w:t>
      </w:r>
      <w:r>
        <w:rPr>
          <w:rFonts w:ascii="Times New Roman" w:eastAsia="仿宋_GB2312"/>
          <w:bCs/>
          <w:szCs w:val="32"/>
        </w:rPr>
        <w:t>本规划为“十四五”时期文化和体育领域专项规划，其中主要内容已纳入《太仓市国民经济和社会发展第十四个五年规划》，全市各地各部门要根据各自实际组织实施，确保各项任务按规划进度落细落实。有关部门应根据本规划抓紧制定配套政策。发改、财政、商务、资规、农业农村等部门，要加强对本规划实施情况的指导、分析和督查。</w:t>
      </w:r>
      <w:bookmarkEnd w:id="76"/>
      <w:bookmarkEnd w:id="77"/>
      <w:bookmarkEnd w:id="78"/>
      <w:bookmarkEnd w:id="79"/>
    </w:p>
    <w:p>
      <w:bookmarkStart w:id="116" w:name="_GoBack"/>
      <w:bookmarkEnd w:id="116"/>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微软雅黑"/>
    <w:panose1 w:val="00000000000000000000"/>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06650"/>
    <w:rsid w:val="2F30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paragraph" w:styleId="2">
    <w:name w:val="heading 2"/>
    <w:basedOn w:val="1"/>
    <w:next w:val="1"/>
    <w:semiHidden/>
    <w:unhideWhenUsed/>
    <w:qFormat/>
    <w:uiPriority w:val="0"/>
    <w:pPr>
      <w:keepNext/>
      <w:keepLines/>
      <w:spacing w:before="260" w:after="260" w:line="416" w:lineRule="atLeast"/>
      <w:outlineLvl w:val="1"/>
    </w:pPr>
    <w:rPr>
      <w:rFonts w:asciiTheme="majorHAnsi" w:hAnsiTheme="majorHAnsi" w:eastAsiaTheme="majorEastAsia" w:cstheme="majorBidi"/>
      <w:b/>
      <w:bCs/>
      <w:szCs w:val="32"/>
    </w:rPr>
  </w:style>
  <w:style w:type="paragraph" w:styleId="3">
    <w:name w:val="heading 3"/>
    <w:basedOn w:val="1"/>
    <w:next w:val="1"/>
    <w:link w:val="10"/>
    <w:semiHidden/>
    <w:unhideWhenUsed/>
    <w:qFormat/>
    <w:uiPriority w:val="0"/>
    <w:pPr>
      <w:keepNext/>
      <w:keepLines/>
      <w:spacing w:before="260" w:after="260" w:line="416" w:lineRule="atLeast"/>
      <w:outlineLvl w:val="2"/>
    </w:pPr>
    <w:rPr>
      <w:b/>
      <w:bCs/>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Normal Indent"/>
    <w:basedOn w:val="1"/>
    <w:next w:val="1"/>
    <w:qFormat/>
    <w:uiPriority w:val="0"/>
    <w:pPr>
      <w:adjustRightInd w:val="0"/>
      <w:snapToGrid/>
      <w:ind w:firstLine="0"/>
      <w:jc w:val="left"/>
    </w:pPr>
    <w:rPr>
      <w:spacing w:val="-25"/>
    </w:rPr>
  </w:style>
  <w:style w:type="paragraph" w:styleId="5">
    <w:name w:val="Salutation"/>
    <w:basedOn w:val="1"/>
    <w:next w:val="1"/>
    <w:qFormat/>
    <w:uiPriority w:val="0"/>
    <w:pPr>
      <w:autoSpaceDE/>
      <w:autoSpaceDN/>
      <w:snapToGrid/>
      <w:spacing w:before="120" w:after="120" w:line="240" w:lineRule="auto"/>
      <w:ind w:firstLine="0"/>
    </w:pPr>
    <w:rPr>
      <w:rFonts w:ascii="Times New Roman" w:eastAsia="宋体"/>
      <w:snapToGrid/>
      <w:kern w:val="2"/>
      <w:sz w:val="24"/>
    </w:rPr>
  </w:style>
  <w:style w:type="paragraph" w:styleId="6">
    <w:name w:val="Body Text"/>
    <w:basedOn w:val="1"/>
    <w:next w:val="1"/>
    <w:qFormat/>
    <w:uiPriority w:val="0"/>
    <w:pPr>
      <w:autoSpaceDE/>
      <w:autoSpaceDN/>
      <w:snapToGrid/>
      <w:spacing w:before="120" w:after="120" w:line="240" w:lineRule="auto"/>
      <w:ind w:firstLine="0"/>
    </w:pPr>
    <w:rPr>
      <w:rFonts w:ascii="Times New Roman" w:eastAsia="宋体"/>
      <w:snapToGrid/>
      <w:kern w:val="2"/>
      <w:sz w:val="24"/>
    </w:rPr>
  </w:style>
  <w:style w:type="paragraph" w:styleId="7">
    <w:name w:val="Normal (Web)"/>
    <w:basedOn w:val="1"/>
    <w:qFormat/>
    <w:uiPriority w:val="0"/>
    <w:pPr>
      <w:spacing w:before="100" w:beforeAutospacing="1" w:after="100" w:afterAutospacing="1"/>
      <w:jc w:val="left"/>
    </w:pPr>
    <w:rPr>
      <w:sz w:val="24"/>
    </w:rPr>
  </w:style>
  <w:style w:type="character" w:customStyle="1" w:styleId="10">
    <w:name w:val="标题 3 Char"/>
    <w:basedOn w:val="9"/>
    <w:link w:val="3"/>
    <w:qFormat/>
    <w:uiPriority w:val="0"/>
    <w:rPr>
      <w:b/>
      <w:bCs/>
      <w:szCs w:val="32"/>
    </w:rPr>
  </w:style>
  <w:style w:type="character" w:customStyle="1" w:styleId="11">
    <w:name w:val="fontstyle01"/>
    <w:qFormat/>
    <w:uiPriority w:val="0"/>
    <w:rPr>
      <w:rFonts w:hint="eastAsia" w:ascii="方正仿宋_GBK" w:eastAsia="方正仿宋_GBK"/>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2021-12-23T08:34:00Z</dcterms:created>
  <dc:creator>庄伯阳</dc:creator>
  <cp:lastModifiedBy>庄伯阳</cp:lastModifiedBy>
  <dcterms:modified xsi:type="dcterms:W3CDTF">2021-12-23T08:34:52Z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EB9879DA86F6488EB57028E048C5D2B4</vt:lpwstr>
  </property>
</Properties>
</file>