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93" w:rsidRDefault="00833E93">
      <w:pPr>
        <w:spacing w:line="560" w:lineRule="exact"/>
        <w:ind w:firstLineChars="0" w:firstLine="0"/>
        <w:jc w:val="center"/>
        <w:rPr>
          <w:rFonts w:ascii="方正小标宋_GBK" w:eastAsia="方正小标宋_GBK" w:hAnsi="方正小标宋_GBK" w:cs="方正小标宋_GBK"/>
          <w:bCs/>
          <w:sz w:val="48"/>
          <w:szCs w:val="48"/>
        </w:rPr>
      </w:pPr>
    </w:p>
    <w:p w:rsidR="00833E93" w:rsidRDefault="00833E93">
      <w:pPr>
        <w:spacing w:line="560" w:lineRule="exact"/>
        <w:ind w:firstLineChars="0" w:firstLine="0"/>
        <w:jc w:val="center"/>
        <w:rPr>
          <w:rFonts w:ascii="方正小标宋_GBK" w:eastAsia="方正小标宋_GBK" w:hAnsi="方正小标宋_GBK" w:cs="方正小标宋_GBK"/>
          <w:bCs/>
          <w:sz w:val="48"/>
          <w:szCs w:val="48"/>
        </w:rPr>
      </w:pPr>
    </w:p>
    <w:p w:rsidR="00833E93" w:rsidRDefault="00833E93">
      <w:pPr>
        <w:pStyle w:val="a1"/>
        <w:ind w:left="480" w:firstLine="964"/>
        <w:outlineLvl w:val="9"/>
        <w:rPr>
          <w:rFonts w:ascii="方正小标宋_GBK" w:eastAsia="方正小标宋_GBK" w:hAnsi="方正小标宋_GBK" w:cs="方正小标宋_GBK"/>
          <w:bCs/>
          <w:sz w:val="48"/>
          <w:szCs w:val="48"/>
        </w:rPr>
      </w:pPr>
    </w:p>
    <w:p w:rsidR="00833E93" w:rsidRDefault="00833E93">
      <w:pPr>
        <w:ind w:firstLine="480"/>
      </w:pPr>
    </w:p>
    <w:p w:rsidR="00833E93" w:rsidRDefault="00833E93">
      <w:pPr>
        <w:pStyle w:val="a6"/>
        <w:ind w:firstLine="456"/>
      </w:pPr>
    </w:p>
    <w:p w:rsidR="00833E93" w:rsidRDefault="00833E93">
      <w:pPr>
        <w:spacing w:line="560" w:lineRule="exact"/>
        <w:ind w:firstLineChars="0" w:firstLine="0"/>
        <w:jc w:val="center"/>
        <w:rPr>
          <w:rFonts w:ascii="方正小标宋_GBK" w:eastAsia="方正小标宋_GBK" w:hAnsi="方正小标宋_GBK" w:cs="方正小标宋_GBK"/>
          <w:bCs/>
          <w:sz w:val="48"/>
          <w:szCs w:val="48"/>
        </w:rPr>
      </w:pPr>
    </w:p>
    <w:p w:rsidR="00833E93" w:rsidRDefault="00E53BDD">
      <w:pPr>
        <w:spacing w:line="560" w:lineRule="exact"/>
        <w:ind w:firstLineChars="0" w:firstLine="0"/>
        <w:jc w:val="center"/>
        <w:rPr>
          <w:rFonts w:ascii="方正小标宋_GBK" w:eastAsia="方正小标宋_GBK" w:hAnsi="方正小标宋_GBK" w:cs="方正小标宋_GBK"/>
          <w:bCs/>
          <w:sz w:val="48"/>
          <w:szCs w:val="48"/>
        </w:rPr>
      </w:pPr>
      <w:r>
        <w:rPr>
          <w:rFonts w:ascii="方正小标宋_GBK" w:eastAsia="方正小标宋_GBK" w:hAnsi="方正小标宋_GBK" w:cs="方正小标宋_GBK" w:hint="eastAsia"/>
          <w:bCs/>
          <w:sz w:val="48"/>
          <w:szCs w:val="48"/>
        </w:rPr>
        <w:t>太仓市“十四五”知识产权发展规划</w:t>
      </w:r>
    </w:p>
    <w:p w:rsidR="00833E93" w:rsidRDefault="00833E93">
      <w:pPr>
        <w:pStyle w:val="a1"/>
        <w:ind w:leftChars="0" w:left="0" w:firstLineChars="0" w:firstLine="0"/>
        <w:jc w:val="center"/>
        <w:outlineLvl w:val="9"/>
        <w:rPr>
          <w:rFonts w:ascii="方正小标宋_GBK" w:eastAsia="方正小标宋_GBK" w:hAnsi="方正小标宋_GBK" w:cs="方正小标宋_GBK"/>
          <w:b w:val="0"/>
          <w:bCs/>
          <w:sz w:val="48"/>
          <w:szCs w:val="48"/>
        </w:rPr>
      </w:pPr>
    </w:p>
    <w:p w:rsidR="00833E93" w:rsidRDefault="00833E93">
      <w:pPr>
        <w:pStyle w:val="a6"/>
        <w:ind w:firstLineChars="0" w:firstLine="0"/>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936"/>
        <w:rPr>
          <w:rFonts w:ascii="方正小标宋_GBK" w:eastAsia="方正小标宋_GBK" w:hAnsi="方正小标宋_GBK" w:cs="方正小标宋_GBK"/>
          <w:bCs/>
          <w:sz w:val="48"/>
          <w:szCs w:val="48"/>
        </w:rPr>
      </w:pPr>
    </w:p>
    <w:p w:rsidR="00833E93" w:rsidRDefault="00833E93">
      <w:pPr>
        <w:pStyle w:val="a6"/>
        <w:ind w:firstLine="776"/>
        <w:rPr>
          <w:rFonts w:ascii="方正小标宋_GBK" w:eastAsia="方正小标宋_GBK" w:hAnsi="方正小标宋_GBK" w:cs="方正小标宋_GBK"/>
          <w:bCs/>
          <w:sz w:val="40"/>
          <w:szCs w:val="40"/>
        </w:rPr>
      </w:pPr>
    </w:p>
    <w:p w:rsidR="00833E93" w:rsidRPr="00E53BDD" w:rsidRDefault="00E53BDD">
      <w:pPr>
        <w:pStyle w:val="a6"/>
        <w:spacing w:line="360" w:lineRule="auto"/>
        <w:ind w:firstLineChars="0" w:firstLine="0"/>
        <w:jc w:val="center"/>
        <w:rPr>
          <w:rFonts w:ascii="楷体" w:eastAsia="楷体_GB2312" w:hAnsi="楷体" w:cs="楷体"/>
          <w:bCs/>
          <w:sz w:val="36"/>
          <w:szCs w:val="36"/>
        </w:rPr>
      </w:pPr>
      <w:r w:rsidRPr="00E53BDD">
        <w:rPr>
          <w:rFonts w:ascii="楷体" w:eastAsia="楷体_GB2312" w:hAnsi="楷体" w:cs="楷体" w:hint="eastAsia"/>
          <w:bCs/>
          <w:sz w:val="36"/>
          <w:szCs w:val="36"/>
        </w:rPr>
        <w:t>太仓市市场监督管理局</w:t>
      </w:r>
    </w:p>
    <w:p w:rsidR="00833E93" w:rsidRPr="00E53BDD" w:rsidRDefault="00E53BDD">
      <w:pPr>
        <w:pStyle w:val="a6"/>
        <w:spacing w:line="360" w:lineRule="auto"/>
        <w:ind w:firstLineChars="0" w:firstLine="0"/>
        <w:jc w:val="center"/>
        <w:rPr>
          <w:rFonts w:ascii="楷体" w:eastAsia="楷体_GB2312" w:hAnsi="楷体" w:cs="楷体"/>
          <w:bCs/>
          <w:sz w:val="36"/>
          <w:szCs w:val="36"/>
        </w:rPr>
      </w:pPr>
      <w:r w:rsidRPr="00E53BDD">
        <w:rPr>
          <w:rFonts w:ascii="楷体" w:eastAsia="楷体_GB2312" w:hAnsi="楷体" w:cs="楷体" w:hint="eastAsia"/>
          <w:bCs/>
          <w:sz w:val="36"/>
          <w:szCs w:val="36"/>
        </w:rPr>
        <w:t>2022</w:t>
      </w:r>
      <w:r w:rsidRPr="00E53BDD">
        <w:rPr>
          <w:rFonts w:ascii="楷体" w:eastAsia="楷体_GB2312" w:hAnsi="楷体" w:cs="楷体" w:hint="eastAsia"/>
          <w:bCs/>
          <w:sz w:val="36"/>
          <w:szCs w:val="36"/>
        </w:rPr>
        <w:t>年</w:t>
      </w:r>
      <w:r>
        <w:rPr>
          <w:rFonts w:ascii="楷体" w:eastAsia="楷体_GB2312" w:hAnsi="楷体" w:cs="楷体" w:hint="eastAsia"/>
          <w:bCs/>
          <w:sz w:val="36"/>
          <w:szCs w:val="36"/>
        </w:rPr>
        <w:t>1</w:t>
      </w:r>
      <w:r w:rsidR="005F6082">
        <w:rPr>
          <w:rFonts w:ascii="楷体" w:eastAsia="楷体_GB2312" w:hAnsi="楷体" w:cs="楷体" w:hint="eastAsia"/>
          <w:bCs/>
          <w:sz w:val="36"/>
          <w:szCs w:val="36"/>
        </w:rPr>
        <w:t>2</w:t>
      </w:r>
      <w:r w:rsidRPr="00E53BDD">
        <w:rPr>
          <w:rFonts w:ascii="楷体" w:eastAsia="楷体_GB2312" w:hAnsi="楷体" w:cs="楷体" w:hint="eastAsia"/>
          <w:bCs/>
          <w:sz w:val="36"/>
          <w:szCs w:val="36"/>
        </w:rPr>
        <w:t>月</w:t>
      </w:r>
    </w:p>
    <w:p w:rsidR="00833E93" w:rsidRDefault="00833E93">
      <w:pPr>
        <w:pStyle w:val="a1"/>
        <w:spacing w:line="560" w:lineRule="exact"/>
        <w:ind w:left="480" w:firstLine="964"/>
        <w:outlineLvl w:val="9"/>
        <w:rPr>
          <w:rFonts w:ascii="方正小标宋_GBK" w:eastAsia="方正小标宋_GBK" w:hAnsi="方正小标宋_GBK" w:cs="方正小标宋_GBK"/>
          <w:bCs/>
          <w:sz w:val="48"/>
          <w:szCs w:val="48"/>
        </w:rPr>
      </w:pPr>
    </w:p>
    <w:p w:rsidR="00833E93" w:rsidRDefault="00833E93">
      <w:pPr>
        <w:pStyle w:val="10"/>
        <w:tabs>
          <w:tab w:val="right" w:leader="dot" w:pos="8306"/>
        </w:tabs>
        <w:ind w:firstLine="880"/>
        <w:jc w:val="center"/>
        <w:rPr>
          <w:rFonts w:ascii="方正小标宋_GBK" w:eastAsia="方正小标宋_GBK" w:hAnsi="方正小标宋_GBK" w:cs="方正小标宋_GBK"/>
          <w:sz w:val="44"/>
          <w:szCs w:val="44"/>
        </w:rPr>
        <w:sectPr w:rsidR="00833E9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p w:rsidR="00833E93" w:rsidRDefault="00E53BDD">
      <w:pPr>
        <w:pStyle w:val="10"/>
        <w:tabs>
          <w:tab w:val="right" w:leader="dot" w:pos="8306"/>
        </w:tabs>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目 录</w:t>
      </w:r>
    </w:p>
    <w:bookmarkStart w:id="0" w:name="_Toc21683"/>
    <w:bookmarkStart w:id="1" w:name="_Toc11447"/>
    <w:bookmarkStart w:id="2" w:name="_Toc5787"/>
    <w:bookmarkStart w:id="3" w:name="_Toc25471"/>
    <w:bookmarkStart w:id="4" w:name="_Toc5165"/>
    <w:bookmarkStart w:id="5" w:name="_Toc28034"/>
    <w:p w:rsidR="00833E93" w:rsidRDefault="00C45D2C">
      <w:pPr>
        <w:pStyle w:val="10"/>
        <w:tabs>
          <w:tab w:val="right" w:leader="dot" w:pos="8306"/>
        </w:tabs>
        <w:ind w:firstLineChars="0" w:firstLine="0"/>
      </w:pPr>
      <w:r w:rsidRPr="00C45D2C">
        <w:fldChar w:fldCharType="begin"/>
      </w:r>
      <w:r w:rsidR="00E53BDD">
        <w:instrText xml:space="preserve">TOC \o "1-3" \h \u </w:instrText>
      </w:r>
      <w:r w:rsidRPr="00C45D2C">
        <w:fldChar w:fldCharType="separate"/>
      </w:r>
    </w:p>
    <w:p w:rsidR="00833E93" w:rsidRDefault="00C45D2C">
      <w:pPr>
        <w:pStyle w:val="10"/>
        <w:tabs>
          <w:tab w:val="right" w:leader="dot" w:pos="8306"/>
        </w:tabs>
        <w:spacing w:line="540" w:lineRule="exact"/>
        <w:ind w:firstLineChars="0" w:firstLine="0"/>
      </w:pPr>
      <w:hyperlink w:anchor="_Toc20493" w:history="1">
        <w:r w:rsidR="00E53BDD">
          <w:rPr>
            <w:rFonts w:ascii="仿宋_GB2312" w:eastAsia="仿宋_GB2312" w:hAnsi="宋体" w:cs="黑体" w:hint="eastAsia"/>
            <w:sz w:val="32"/>
            <w:szCs w:val="32"/>
          </w:rPr>
          <w:t>序言</w:t>
        </w:r>
        <w:r w:rsidR="00E53BDD">
          <w:tab/>
        </w:r>
        <w:r>
          <w:fldChar w:fldCharType="begin"/>
        </w:r>
        <w:r w:rsidR="00E53BDD">
          <w:instrText xml:space="preserve"> PAGEREF _Toc20493 \h </w:instrText>
        </w:r>
        <w:r>
          <w:fldChar w:fldCharType="separate"/>
        </w:r>
        <w:r w:rsidR="00E53BDD">
          <w:rPr>
            <w:noProof/>
          </w:rPr>
          <w:t>1</w:t>
        </w:r>
        <w:r>
          <w:fldChar w:fldCharType="end"/>
        </w:r>
      </w:hyperlink>
    </w:p>
    <w:p w:rsidR="00833E93" w:rsidRDefault="00C45D2C">
      <w:pPr>
        <w:pStyle w:val="10"/>
        <w:tabs>
          <w:tab w:val="right" w:leader="dot" w:pos="8306"/>
        </w:tabs>
        <w:spacing w:line="540" w:lineRule="exact"/>
        <w:ind w:firstLineChars="0" w:firstLine="0"/>
      </w:pPr>
      <w:hyperlink w:anchor="_Toc21970" w:history="1">
        <w:r w:rsidR="00E53BDD">
          <w:rPr>
            <w:rFonts w:ascii="黑体" w:eastAsia="黑体" w:hAnsi="黑体" w:cs="黑体" w:hint="eastAsia"/>
            <w:sz w:val="32"/>
            <w:szCs w:val="32"/>
          </w:rPr>
          <w:t>一、发展基础与面临形势</w:t>
        </w:r>
        <w:r w:rsidR="00E53BDD">
          <w:tab/>
        </w:r>
        <w:r>
          <w:fldChar w:fldCharType="begin"/>
        </w:r>
        <w:r w:rsidR="00E53BDD">
          <w:instrText xml:space="preserve"> PAGEREF _Toc21970 \h </w:instrText>
        </w:r>
        <w:r>
          <w:fldChar w:fldCharType="separate"/>
        </w:r>
        <w:r w:rsidR="00E53BDD">
          <w:rPr>
            <w:noProof/>
          </w:rPr>
          <w:t>2</w:t>
        </w:r>
        <w:r>
          <w:fldChar w:fldCharType="end"/>
        </w:r>
      </w:hyperlink>
    </w:p>
    <w:p w:rsidR="00833E93" w:rsidRDefault="00C45D2C">
      <w:pPr>
        <w:pStyle w:val="20"/>
        <w:tabs>
          <w:tab w:val="right" w:leader="dot" w:pos="8306"/>
        </w:tabs>
        <w:spacing w:line="540" w:lineRule="exact"/>
        <w:ind w:leftChars="0" w:left="0" w:firstLineChars="0" w:firstLine="0"/>
      </w:pPr>
      <w:hyperlink w:anchor="_Toc6434" w:history="1">
        <w:r w:rsidR="00E53BDD">
          <w:rPr>
            <w:rFonts w:ascii="楷体_GB2312" w:eastAsia="楷体_GB2312" w:hAnsi="楷体_GB2312" w:cs="楷体_GB2312" w:hint="eastAsia"/>
            <w:sz w:val="32"/>
            <w:szCs w:val="32"/>
          </w:rPr>
          <w:t>（一）发展基础</w:t>
        </w:r>
        <w:r w:rsidR="00E53BDD">
          <w:tab/>
        </w:r>
        <w:r>
          <w:fldChar w:fldCharType="begin"/>
        </w:r>
        <w:r w:rsidR="00E53BDD">
          <w:instrText xml:space="preserve"> PAGEREF _Toc6434 \h </w:instrText>
        </w:r>
        <w:r>
          <w:fldChar w:fldCharType="separate"/>
        </w:r>
        <w:r w:rsidR="00E53BDD">
          <w:rPr>
            <w:noProof/>
          </w:rPr>
          <w:t>2</w:t>
        </w:r>
        <w:r>
          <w:fldChar w:fldCharType="end"/>
        </w:r>
      </w:hyperlink>
    </w:p>
    <w:p w:rsidR="00833E93" w:rsidRDefault="00C45D2C">
      <w:pPr>
        <w:pStyle w:val="30"/>
        <w:tabs>
          <w:tab w:val="right" w:leader="dot" w:pos="8306"/>
        </w:tabs>
        <w:spacing w:line="540" w:lineRule="exact"/>
        <w:ind w:leftChars="0" w:left="0" w:firstLineChars="0" w:firstLine="0"/>
      </w:pPr>
      <w:hyperlink w:anchor="_Toc1413" w:history="1">
        <w:r w:rsidR="00E53BDD" w:rsidRPr="00E53BDD">
          <w:rPr>
            <w:rFonts w:ascii="仿宋" w:eastAsia="仿宋_GB2312" w:hAnsi="仿宋" w:hint="eastAsia"/>
            <w:sz w:val="32"/>
            <w:szCs w:val="32"/>
          </w:rPr>
          <w:t>1.</w:t>
        </w:r>
        <w:r w:rsidR="00E53BDD" w:rsidRPr="00E53BDD">
          <w:rPr>
            <w:rFonts w:ascii="仿宋" w:eastAsia="仿宋_GB2312" w:hAnsi="仿宋" w:hint="eastAsia"/>
            <w:sz w:val="32"/>
            <w:szCs w:val="32"/>
          </w:rPr>
          <w:t>示范创建卓有成效</w:t>
        </w:r>
        <w:r w:rsidR="00E53BDD">
          <w:tab/>
        </w:r>
        <w:r>
          <w:fldChar w:fldCharType="begin"/>
        </w:r>
        <w:r w:rsidR="00E53BDD">
          <w:instrText xml:space="preserve"> PAGEREF _Toc1413 \h </w:instrText>
        </w:r>
        <w:r>
          <w:fldChar w:fldCharType="separate"/>
        </w:r>
        <w:r w:rsidR="00E53BDD">
          <w:rPr>
            <w:noProof/>
          </w:rPr>
          <w:t>2</w:t>
        </w:r>
        <w:r>
          <w:fldChar w:fldCharType="end"/>
        </w:r>
      </w:hyperlink>
    </w:p>
    <w:p w:rsidR="00833E93" w:rsidRDefault="00C45D2C">
      <w:pPr>
        <w:pStyle w:val="30"/>
        <w:tabs>
          <w:tab w:val="right" w:leader="dot" w:pos="8306"/>
        </w:tabs>
        <w:spacing w:line="540" w:lineRule="exact"/>
        <w:ind w:leftChars="0" w:left="0" w:firstLineChars="0" w:firstLine="0"/>
      </w:pPr>
      <w:hyperlink w:anchor="_Toc16599" w:history="1">
        <w:r w:rsidR="00E53BDD" w:rsidRPr="00E53BDD">
          <w:rPr>
            <w:rFonts w:ascii="仿宋" w:eastAsia="仿宋_GB2312" w:hAnsi="仿宋" w:hint="eastAsia"/>
            <w:sz w:val="32"/>
            <w:szCs w:val="32"/>
          </w:rPr>
          <w:t>2.</w:t>
        </w:r>
        <w:r w:rsidR="00E53BDD" w:rsidRPr="00E53BDD">
          <w:rPr>
            <w:rFonts w:ascii="仿宋" w:eastAsia="仿宋_GB2312" w:hAnsi="仿宋" w:hint="eastAsia"/>
            <w:sz w:val="32"/>
            <w:szCs w:val="32"/>
          </w:rPr>
          <w:t>创造活力显著增强</w:t>
        </w:r>
        <w:r w:rsidR="00E53BDD">
          <w:tab/>
        </w:r>
        <w:r>
          <w:fldChar w:fldCharType="begin"/>
        </w:r>
        <w:r w:rsidR="00E53BDD">
          <w:instrText xml:space="preserve"> PAGEREF _Toc16599 \h </w:instrText>
        </w:r>
        <w:r>
          <w:fldChar w:fldCharType="separate"/>
        </w:r>
        <w:r w:rsidR="00E53BDD">
          <w:rPr>
            <w:noProof/>
          </w:rPr>
          <w:t>2</w:t>
        </w:r>
        <w:r>
          <w:fldChar w:fldCharType="end"/>
        </w:r>
      </w:hyperlink>
    </w:p>
    <w:p w:rsidR="00833E93" w:rsidRDefault="00C45D2C">
      <w:pPr>
        <w:pStyle w:val="30"/>
        <w:tabs>
          <w:tab w:val="right" w:leader="dot" w:pos="8306"/>
        </w:tabs>
        <w:spacing w:line="540" w:lineRule="exact"/>
        <w:ind w:leftChars="0" w:left="0" w:firstLineChars="0" w:firstLine="0"/>
      </w:pPr>
      <w:hyperlink w:anchor="_Toc25380" w:history="1">
        <w:r w:rsidR="00E53BDD" w:rsidRPr="00E53BDD">
          <w:rPr>
            <w:rFonts w:ascii="仿宋" w:eastAsia="仿宋_GB2312" w:hAnsi="仿宋" w:hint="eastAsia"/>
            <w:sz w:val="32"/>
            <w:szCs w:val="32"/>
          </w:rPr>
          <w:t>3.</w:t>
        </w:r>
        <w:r w:rsidR="00E53BDD" w:rsidRPr="00E53BDD">
          <w:rPr>
            <w:rFonts w:ascii="仿宋" w:eastAsia="仿宋_GB2312" w:hAnsi="仿宋" w:hint="eastAsia"/>
            <w:sz w:val="32"/>
            <w:szCs w:val="32"/>
          </w:rPr>
          <w:t>运用效益明显提高</w:t>
        </w:r>
        <w:r w:rsidR="00E53BDD">
          <w:tab/>
        </w:r>
        <w:r>
          <w:fldChar w:fldCharType="begin"/>
        </w:r>
        <w:r w:rsidR="00E53BDD">
          <w:instrText xml:space="preserve"> PAGEREF _Toc25380 \h </w:instrText>
        </w:r>
        <w:r>
          <w:fldChar w:fldCharType="separate"/>
        </w:r>
        <w:r w:rsidR="00E53BDD">
          <w:rPr>
            <w:noProof/>
          </w:rPr>
          <w:t>2</w:t>
        </w:r>
        <w:r>
          <w:fldChar w:fldCharType="end"/>
        </w:r>
      </w:hyperlink>
    </w:p>
    <w:p w:rsidR="00833E93" w:rsidRDefault="00C45D2C">
      <w:pPr>
        <w:pStyle w:val="30"/>
        <w:tabs>
          <w:tab w:val="right" w:leader="dot" w:pos="8306"/>
        </w:tabs>
        <w:spacing w:line="540" w:lineRule="exact"/>
        <w:ind w:leftChars="0" w:left="0" w:firstLineChars="0" w:firstLine="0"/>
      </w:pPr>
      <w:hyperlink w:anchor="_Toc15971" w:history="1">
        <w:r w:rsidR="00E53BDD" w:rsidRPr="00E53BDD">
          <w:rPr>
            <w:rFonts w:ascii="仿宋" w:eastAsia="仿宋_GB2312" w:hAnsi="仿宋" w:hint="eastAsia"/>
            <w:sz w:val="32"/>
            <w:szCs w:val="32"/>
          </w:rPr>
          <w:t>4.</w:t>
        </w:r>
        <w:r w:rsidR="00E53BDD" w:rsidRPr="00E53BDD">
          <w:rPr>
            <w:rFonts w:ascii="仿宋" w:eastAsia="仿宋_GB2312" w:hAnsi="仿宋" w:hint="eastAsia"/>
            <w:sz w:val="32"/>
            <w:szCs w:val="32"/>
          </w:rPr>
          <w:t>保护成效逐渐显现</w:t>
        </w:r>
        <w:r w:rsidR="00E53BDD">
          <w:tab/>
        </w:r>
        <w:r>
          <w:fldChar w:fldCharType="begin"/>
        </w:r>
        <w:r w:rsidR="00E53BDD">
          <w:instrText xml:space="preserve"> PAGEREF _Toc15971 \h </w:instrText>
        </w:r>
        <w:r>
          <w:fldChar w:fldCharType="separate"/>
        </w:r>
        <w:r w:rsidR="00E53BDD">
          <w:rPr>
            <w:noProof/>
          </w:rPr>
          <w:t>3</w:t>
        </w:r>
        <w:r>
          <w:fldChar w:fldCharType="end"/>
        </w:r>
      </w:hyperlink>
    </w:p>
    <w:p w:rsidR="00833E93" w:rsidRDefault="00C45D2C">
      <w:pPr>
        <w:pStyle w:val="30"/>
        <w:tabs>
          <w:tab w:val="right" w:leader="dot" w:pos="8306"/>
        </w:tabs>
        <w:spacing w:line="540" w:lineRule="exact"/>
        <w:ind w:leftChars="0" w:left="0" w:firstLineChars="0" w:firstLine="0"/>
      </w:pPr>
      <w:hyperlink w:anchor="_Toc26977" w:history="1">
        <w:r w:rsidR="00E53BDD" w:rsidRPr="00E53BDD">
          <w:rPr>
            <w:rFonts w:ascii="仿宋" w:eastAsia="仿宋_GB2312" w:hAnsi="仿宋" w:hint="eastAsia"/>
            <w:sz w:val="32"/>
            <w:szCs w:val="32"/>
          </w:rPr>
          <w:t>5.</w:t>
        </w:r>
        <w:r w:rsidR="00E53BDD" w:rsidRPr="00E53BDD">
          <w:rPr>
            <w:rFonts w:ascii="仿宋" w:eastAsia="仿宋_GB2312" w:hAnsi="仿宋" w:hint="eastAsia"/>
            <w:sz w:val="32"/>
            <w:szCs w:val="32"/>
          </w:rPr>
          <w:t>服务能力稳步提升</w:t>
        </w:r>
        <w:r w:rsidR="00E53BDD">
          <w:tab/>
        </w:r>
        <w:r>
          <w:fldChar w:fldCharType="begin"/>
        </w:r>
        <w:r w:rsidR="00E53BDD">
          <w:instrText xml:space="preserve"> PAGEREF _Toc26977 \h </w:instrText>
        </w:r>
        <w:r>
          <w:fldChar w:fldCharType="separate"/>
        </w:r>
        <w:r w:rsidR="00E53BDD">
          <w:rPr>
            <w:noProof/>
          </w:rPr>
          <w:t>3</w:t>
        </w:r>
        <w:r>
          <w:fldChar w:fldCharType="end"/>
        </w:r>
      </w:hyperlink>
    </w:p>
    <w:p w:rsidR="00833E93" w:rsidRDefault="00C45D2C">
      <w:pPr>
        <w:pStyle w:val="30"/>
        <w:tabs>
          <w:tab w:val="right" w:leader="dot" w:pos="8306"/>
        </w:tabs>
        <w:spacing w:line="540" w:lineRule="exact"/>
        <w:ind w:leftChars="0" w:left="0" w:firstLineChars="0" w:firstLine="0"/>
      </w:pPr>
      <w:hyperlink w:anchor="_Toc26790" w:history="1">
        <w:r w:rsidR="00E53BDD" w:rsidRPr="00E53BDD">
          <w:rPr>
            <w:rFonts w:ascii="仿宋" w:eastAsia="仿宋_GB2312" w:hAnsi="仿宋" w:hint="eastAsia"/>
            <w:sz w:val="32"/>
            <w:szCs w:val="32"/>
          </w:rPr>
          <w:t>6.</w:t>
        </w:r>
        <w:r w:rsidR="00E53BDD" w:rsidRPr="00E53BDD">
          <w:rPr>
            <w:rFonts w:ascii="仿宋" w:eastAsia="仿宋_GB2312" w:hAnsi="仿宋" w:hint="eastAsia"/>
            <w:sz w:val="32"/>
            <w:szCs w:val="32"/>
          </w:rPr>
          <w:t>发展环境不断优化</w:t>
        </w:r>
        <w:r w:rsidR="00E53BDD">
          <w:tab/>
        </w:r>
        <w:r>
          <w:fldChar w:fldCharType="begin"/>
        </w:r>
        <w:r w:rsidR="00E53BDD">
          <w:instrText xml:space="preserve"> PAGEREF _Toc26790 \h </w:instrText>
        </w:r>
        <w:r>
          <w:fldChar w:fldCharType="separate"/>
        </w:r>
        <w:r w:rsidR="00E53BDD">
          <w:rPr>
            <w:noProof/>
          </w:rPr>
          <w:t>4</w:t>
        </w:r>
        <w:r>
          <w:fldChar w:fldCharType="end"/>
        </w:r>
      </w:hyperlink>
    </w:p>
    <w:p w:rsidR="00833E93" w:rsidRDefault="00C45D2C">
      <w:pPr>
        <w:pStyle w:val="20"/>
        <w:tabs>
          <w:tab w:val="right" w:leader="dot" w:pos="8306"/>
        </w:tabs>
        <w:spacing w:line="540" w:lineRule="exact"/>
        <w:ind w:leftChars="0" w:left="0" w:firstLineChars="0" w:firstLine="0"/>
      </w:pPr>
      <w:hyperlink w:anchor="_Toc17016" w:history="1">
        <w:r w:rsidR="00E53BDD">
          <w:rPr>
            <w:rFonts w:ascii="楷体_GB2312" w:eastAsia="楷体_GB2312" w:hAnsi="楷体_GB2312" w:cs="楷体_GB2312" w:hint="eastAsia"/>
            <w:sz w:val="32"/>
            <w:szCs w:val="32"/>
          </w:rPr>
          <w:t>（二）当前存在的主要问题</w:t>
        </w:r>
        <w:r w:rsidR="00E53BDD">
          <w:tab/>
        </w:r>
        <w:r>
          <w:fldChar w:fldCharType="begin"/>
        </w:r>
        <w:r w:rsidR="00E53BDD">
          <w:instrText xml:space="preserve"> PAGEREF _Toc17016 \h </w:instrText>
        </w:r>
        <w:r>
          <w:fldChar w:fldCharType="separate"/>
        </w:r>
        <w:r w:rsidR="00E53BDD">
          <w:rPr>
            <w:noProof/>
          </w:rPr>
          <w:t>5</w:t>
        </w:r>
        <w:r>
          <w:fldChar w:fldCharType="end"/>
        </w:r>
      </w:hyperlink>
    </w:p>
    <w:p w:rsidR="00833E93" w:rsidRDefault="00C45D2C">
      <w:pPr>
        <w:pStyle w:val="20"/>
        <w:tabs>
          <w:tab w:val="right" w:leader="dot" w:pos="8306"/>
        </w:tabs>
        <w:spacing w:line="540" w:lineRule="exact"/>
        <w:ind w:leftChars="0" w:left="0" w:firstLineChars="0" w:firstLine="0"/>
      </w:pPr>
      <w:hyperlink w:anchor="_Toc20302" w:history="1">
        <w:r w:rsidR="00E53BDD">
          <w:rPr>
            <w:rFonts w:ascii="楷体_GB2312" w:eastAsia="楷体_GB2312" w:hAnsi="楷体_GB2312" w:cs="楷体_GB2312" w:hint="eastAsia"/>
            <w:sz w:val="32"/>
            <w:szCs w:val="32"/>
          </w:rPr>
          <w:t>（三）机遇与挑战</w:t>
        </w:r>
        <w:r w:rsidR="00E53BDD">
          <w:tab/>
        </w:r>
        <w:r>
          <w:fldChar w:fldCharType="begin"/>
        </w:r>
        <w:r w:rsidR="00E53BDD">
          <w:instrText xml:space="preserve"> PAGEREF _Toc20302 \h </w:instrText>
        </w:r>
        <w:r>
          <w:fldChar w:fldCharType="separate"/>
        </w:r>
        <w:r w:rsidR="00E53BDD">
          <w:rPr>
            <w:noProof/>
          </w:rPr>
          <w:t>5</w:t>
        </w:r>
        <w:r>
          <w:fldChar w:fldCharType="end"/>
        </w:r>
      </w:hyperlink>
    </w:p>
    <w:p w:rsidR="00833E93" w:rsidRDefault="00C45D2C">
      <w:pPr>
        <w:pStyle w:val="10"/>
        <w:tabs>
          <w:tab w:val="right" w:leader="dot" w:pos="8306"/>
        </w:tabs>
        <w:spacing w:line="540" w:lineRule="exact"/>
        <w:ind w:firstLineChars="0" w:firstLine="0"/>
      </w:pPr>
      <w:hyperlink w:anchor="_Toc8861" w:history="1">
        <w:r w:rsidR="00E53BDD">
          <w:rPr>
            <w:rFonts w:ascii="黑体" w:eastAsia="黑体" w:hAnsi="黑体" w:cs="黑体" w:hint="eastAsia"/>
            <w:sz w:val="32"/>
            <w:szCs w:val="32"/>
          </w:rPr>
          <w:t>二、指导思想与发展目标</w:t>
        </w:r>
        <w:r w:rsidR="00E53BDD">
          <w:tab/>
        </w:r>
        <w:r>
          <w:fldChar w:fldCharType="begin"/>
        </w:r>
        <w:r w:rsidR="00E53BDD">
          <w:instrText xml:space="preserve"> PAGEREF _Toc8861 \h </w:instrText>
        </w:r>
        <w:r>
          <w:fldChar w:fldCharType="separate"/>
        </w:r>
        <w:r w:rsidR="00E53BDD">
          <w:rPr>
            <w:noProof/>
          </w:rPr>
          <w:t>6</w:t>
        </w:r>
        <w:r>
          <w:fldChar w:fldCharType="end"/>
        </w:r>
      </w:hyperlink>
    </w:p>
    <w:p w:rsidR="00833E93" w:rsidRDefault="00C45D2C">
      <w:pPr>
        <w:pStyle w:val="20"/>
        <w:tabs>
          <w:tab w:val="right" w:leader="dot" w:pos="8306"/>
        </w:tabs>
        <w:spacing w:line="540" w:lineRule="exact"/>
        <w:ind w:leftChars="0" w:left="0" w:firstLineChars="0" w:firstLine="0"/>
      </w:pPr>
      <w:hyperlink w:anchor="_Toc20204" w:history="1">
        <w:r w:rsidR="00E53BDD">
          <w:rPr>
            <w:rFonts w:ascii="楷体_GB2312" w:eastAsia="楷体_GB2312" w:hAnsi="楷体_GB2312" w:cs="楷体_GB2312" w:hint="eastAsia"/>
            <w:sz w:val="32"/>
            <w:szCs w:val="32"/>
          </w:rPr>
          <w:t>（一）指导思想</w:t>
        </w:r>
        <w:r w:rsidR="00E53BDD">
          <w:tab/>
        </w:r>
        <w:r>
          <w:fldChar w:fldCharType="begin"/>
        </w:r>
        <w:r w:rsidR="00E53BDD">
          <w:instrText xml:space="preserve"> PAGEREF _Toc20204 \h </w:instrText>
        </w:r>
        <w:r>
          <w:fldChar w:fldCharType="separate"/>
        </w:r>
        <w:r w:rsidR="00E53BDD">
          <w:rPr>
            <w:noProof/>
          </w:rPr>
          <w:t>6</w:t>
        </w:r>
        <w:r>
          <w:fldChar w:fldCharType="end"/>
        </w:r>
      </w:hyperlink>
    </w:p>
    <w:p w:rsidR="00833E93" w:rsidRDefault="00C45D2C">
      <w:pPr>
        <w:pStyle w:val="20"/>
        <w:tabs>
          <w:tab w:val="right" w:leader="dot" w:pos="8306"/>
        </w:tabs>
        <w:spacing w:line="540" w:lineRule="exact"/>
        <w:ind w:leftChars="0" w:left="0" w:firstLineChars="0" w:firstLine="0"/>
      </w:pPr>
      <w:hyperlink w:anchor="_Toc23609" w:history="1">
        <w:r w:rsidR="00E53BDD">
          <w:rPr>
            <w:rFonts w:ascii="楷体_GB2312" w:eastAsia="楷体_GB2312" w:hAnsi="楷体_GB2312" w:cs="楷体_GB2312" w:hint="eastAsia"/>
            <w:sz w:val="32"/>
            <w:szCs w:val="32"/>
          </w:rPr>
          <w:t>（二）基本原则</w:t>
        </w:r>
        <w:r w:rsidR="00E53BDD">
          <w:tab/>
        </w:r>
        <w:r>
          <w:fldChar w:fldCharType="begin"/>
        </w:r>
        <w:r w:rsidR="00E53BDD">
          <w:instrText xml:space="preserve"> PAGEREF _Toc23609 \h </w:instrText>
        </w:r>
        <w:r>
          <w:fldChar w:fldCharType="separate"/>
        </w:r>
        <w:r w:rsidR="00E53BDD">
          <w:rPr>
            <w:noProof/>
          </w:rPr>
          <w:t>7</w:t>
        </w:r>
        <w:r>
          <w:fldChar w:fldCharType="end"/>
        </w:r>
      </w:hyperlink>
    </w:p>
    <w:p w:rsidR="00833E93" w:rsidRDefault="00C45D2C">
      <w:pPr>
        <w:pStyle w:val="20"/>
        <w:tabs>
          <w:tab w:val="right" w:leader="dot" w:pos="8306"/>
        </w:tabs>
        <w:spacing w:line="540" w:lineRule="exact"/>
        <w:ind w:leftChars="0" w:left="0" w:firstLineChars="0" w:firstLine="0"/>
      </w:pPr>
      <w:hyperlink w:anchor="_Toc11988" w:history="1">
        <w:r w:rsidR="00E53BDD">
          <w:rPr>
            <w:rFonts w:ascii="楷体_GB2312" w:eastAsia="楷体_GB2312" w:hAnsi="楷体_GB2312" w:cs="楷体_GB2312" w:hint="eastAsia"/>
            <w:sz w:val="32"/>
            <w:szCs w:val="32"/>
          </w:rPr>
          <w:t>（三）发展目标</w:t>
        </w:r>
        <w:r w:rsidR="00E53BDD">
          <w:tab/>
        </w:r>
        <w:r>
          <w:fldChar w:fldCharType="begin"/>
        </w:r>
        <w:r w:rsidR="00E53BDD">
          <w:instrText xml:space="preserve"> PAGEREF _Toc11988 \h </w:instrText>
        </w:r>
        <w:r>
          <w:fldChar w:fldCharType="separate"/>
        </w:r>
        <w:r w:rsidR="00E53BDD">
          <w:rPr>
            <w:noProof/>
          </w:rPr>
          <w:t>7</w:t>
        </w:r>
        <w:r>
          <w:fldChar w:fldCharType="end"/>
        </w:r>
      </w:hyperlink>
    </w:p>
    <w:p w:rsidR="00833E93" w:rsidRDefault="00C45D2C">
      <w:pPr>
        <w:pStyle w:val="10"/>
        <w:tabs>
          <w:tab w:val="right" w:leader="dot" w:pos="8306"/>
        </w:tabs>
        <w:spacing w:line="540" w:lineRule="exact"/>
        <w:ind w:firstLineChars="0" w:firstLine="0"/>
      </w:pPr>
      <w:hyperlink w:anchor="_Toc29682" w:history="1">
        <w:r w:rsidR="00E53BDD">
          <w:rPr>
            <w:rFonts w:ascii="黑体" w:eastAsia="黑体" w:hAnsi="黑体" w:cs="黑体" w:hint="eastAsia"/>
            <w:sz w:val="32"/>
            <w:szCs w:val="32"/>
          </w:rPr>
          <w:t>三、主要任务</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10361" w:history="1">
        <w:r w:rsidR="00E53BDD">
          <w:rPr>
            <w:rFonts w:ascii="楷体_GB2312" w:eastAsia="楷体_GB2312" w:hAnsi="楷体_GB2312" w:cs="楷体_GB2312" w:hint="eastAsia"/>
            <w:sz w:val="32"/>
            <w:szCs w:val="32"/>
          </w:rPr>
          <w:t>（一）构建现代化知识产权治理体系</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3883" w:history="1">
        <w:r w:rsidR="00E53BDD" w:rsidRPr="00E53BDD">
          <w:rPr>
            <w:rFonts w:ascii="仿宋" w:eastAsia="仿宋_GB2312" w:hAnsi="仿宋" w:hint="eastAsia"/>
            <w:sz w:val="32"/>
            <w:szCs w:val="32"/>
          </w:rPr>
          <w:t>1.</w:t>
        </w:r>
        <w:r w:rsidR="00E53BDD" w:rsidRPr="00E53BDD">
          <w:rPr>
            <w:rFonts w:ascii="仿宋" w:eastAsia="仿宋_GB2312" w:hAnsi="仿宋" w:hint="eastAsia"/>
            <w:sz w:val="32"/>
            <w:szCs w:val="32"/>
          </w:rPr>
          <w:t>推进知识产权法规政策落实</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24179" w:history="1">
        <w:r w:rsidR="00E53BDD" w:rsidRPr="00E53BDD">
          <w:rPr>
            <w:rFonts w:ascii="仿宋" w:eastAsia="仿宋_GB2312" w:hAnsi="仿宋" w:hint="eastAsia"/>
            <w:sz w:val="32"/>
            <w:szCs w:val="32"/>
          </w:rPr>
          <w:t>2.</w:t>
        </w:r>
        <w:r w:rsidR="00E53BDD" w:rsidRPr="00E53BDD">
          <w:rPr>
            <w:rFonts w:ascii="仿宋" w:eastAsia="仿宋_GB2312" w:hAnsi="仿宋" w:hint="eastAsia"/>
            <w:sz w:val="32"/>
            <w:szCs w:val="32"/>
          </w:rPr>
          <w:t>完善知识产权管理工作机制</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30195" w:history="1">
        <w:r w:rsidR="00E53BDD">
          <w:rPr>
            <w:rFonts w:ascii="楷体_GB2312" w:eastAsia="楷体_GB2312" w:hAnsi="楷体_GB2312" w:cs="楷体_GB2312" w:hint="eastAsia"/>
            <w:sz w:val="32"/>
            <w:szCs w:val="32"/>
          </w:rPr>
          <w:t>（二）推动知识产权高质量创造</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12569" w:history="1">
        <w:r w:rsidR="00E53BDD" w:rsidRPr="00E53BDD">
          <w:rPr>
            <w:rFonts w:ascii="仿宋" w:eastAsia="仿宋_GB2312" w:hAnsi="仿宋" w:hint="eastAsia"/>
            <w:sz w:val="32"/>
            <w:szCs w:val="32"/>
          </w:rPr>
          <w:t>3.</w:t>
        </w:r>
        <w:r w:rsidR="00E53BDD" w:rsidRPr="00E53BDD">
          <w:rPr>
            <w:rFonts w:ascii="仿宋" w:eastAsia="仿宋_GB2312" w:hAnsi="仿宋" w:hint="eastAsia"/>
            <w:sz w:val="32"/>
            <w:szCs w:val="32"/>
          </w:rPr>
          <w:t>实施高价值知识产权培育工程</w:t>
        </w:r>
        <w:r w:rsidR="00E53BDD">
          <w:tab/>
        </w:r>
        <w:r w:rsidR="002F3B9D">
          <w:rPr>
            <w:rFonts w:hint="eastAsia"/>
          </w:rPr>
          <w:t>10</w:t>
        </w:r>
      </w:hyperlink>
    </w:p>
    <w:p w:rsidR="00833E93" w:rsidRDefault="00C45D2C">
      <w:pPr>
        <w:pStyle w:val="20"/>
        <w:tabs>
          <w:tab w:val="right" w:leader="dot" w:pos="8306"/>
        </w:tabs>
        <w:spacing w:line="540" w:lineRule="exact"/>
        <w:ind w:leftChars="0" w:left="0" w:firstLineChars="0" w:firstLine="0"/>
      </w:pPr>
      <w:hyperlink w:anchor="_Toc1444" w:history="1">
        <w:r w:rsidR="00E53BDD" w:rsidRPr="00E53BDD">
          <w:rPr>
            <w:rFonts w:ascii="仿宋" w:eastAsia="仿宋_GB2312" w:hAnsi="仿宋" w:hint="eastAsia"/>
            <w:sz w:val="32"/>
            <w:szCs w:val="32"/>
          </w:rPr>
          <w:t>4.</w:t>
        </w:r>
        <w:r w:rsidR="00E53BDD" w:rsidRPr="00E53BDD">
          <w:rPr>
            <w:rFonts w:ascii="仿宋" w:eastAsia="仿宋_GB2312" w:hAnsi="仿宋" w:hint="eastAsia"/>
            <w:sz w:val="32"/>
            <w:szCs w:val="32"/>
          </w:rPr>
          <w:t>加快知识产权密集型企业培育</w:t>
        </w:r>
        <w:r w:rsidR="00E53BDD">
          <w:tab/>
        </w:r>
        <w:r w:rsidR="002F3B9D">
          <w:rPr>
            <w:rFonts w:hint="eastAsia"/>
          </w:rPr>
          <w:t>12</w:t>
        </w:r>
      </w:hyperlink>
    </w:p>
    <w:p w:rsidR="00833E93" w:rsidRDefault="00C45D2C">
      <w:pPr>
        <w:pStyle w:val="20"/>
        <w:tabs>
          <w:tab w:val="right" w:leader="dot" w:pos="8306"/>
        </w:tabs>
        <w:spacing w:line="540" w:lineRule="exact"/>
        <w:ind w:leftChars="0" w:left="0" w:firstLineChars="0" w:firstLine="0"/>
      </w:pPr>
      <w:hyperlink w:anchor="_Toc5434" w:history="1">
        <w:r w:rsidR="00E53BDD" w:rsidRPr="00E53BDD">
          <w:rPr>
            <w:rFonts w:ascii="仿宋" w:eastAsia="仿宋_GB2312" w:hAnsi="仿宋" w:hint="eastAsia"/>
            <w:sz w:val="32"/>
            <w:szCs w:val="32"/>
          </w:rPr>
          <w:t>5.</w:t>
        </w:r>
        <w:r w:rsidR="00E53BDD" w:rsidRPr="00E53BDD">
          <w:rPr>
            <w:rFonts w:ascii="仿宋" w:eastAsia="仿宋_GB2312" w:hAnsi="仿宋" w:hint="eastAsia"/>
            <w:sz w:val="32"/>
            <w:szCs w:val="32"/>
          </w:rPr>
          <w:t>加快新兴产业知识产权布局</w:t>
        </w:r>
        <w:r w:rsidR="00E53BDD">
          <w:tab/>
        </w:r>
        <w:r w:rsidR="002F3B9D">
          <w:rPr>
            <w:rFonts w:hint="eastAsia"/>
          </w:rPr>
          <w:t>12</w:t>
        </w:r>
      </w:hyperlink>
    </w:p>
    <w:p w:rsidR="00833E93" w:rsidRDefault="00C45D2C">
      <w:pPr>
        <w:pStyle w:val="20"/>
        <w:tabs>
          <w:tab w:val="right" w:leader="dot" w:pos="8306"/>
        </w:tabs>
        <w:spacing w:line="540" w:lineRule="exact"/>
        <w:ind w:leftChars="0" w:left="0" w:firstLineChars="0" w:firstLine="0"/>
      </w:pPr>
      <w:hyperlink w:anchor="_Toc8519" w:history="1">
        <w:r w:rsidR="00E53BDD" w:rsidRPr="00E53BDD">
          <w:rPr>
            <w:rFonts w:ascii="仿宋" w:eastAsia="仿宋_GB2312" w:hAnsi="仿宋" w:hint="eastAsia"/>
            <w:sz w:val="32"/>
            <w:szCs w:val="32"/>
          </w:rPr>
          <w:t>6.</w:t>
        </w:r>
        <w:r w:rsidR="00E53BDD" w:rsidRPr="00E53BDD">
          <w:rPr>
            <w:rFonts w:ascii="仿宋" w:eastAsia="仿宋_GB2312" w:hAnsi="仿宋" w:hint="eastAsia"/>
            <w:sz w:val="32"/>
            <w:szCs w:val="32"/>
          </w:rPr>
          <w:t>加强文化产业知识产权创新</w:t>
        </w:r>
        <w:r w:rsidR="00E53BDD">
          <w:tab/>
        </w:r>
        <w:r w:rsidR="002F3B9D">
          <w:rPr>
            <w:rFonts w:hint="eastAsia"/>
          </w:rPr>
          <w:t>13</w:t>
        </w:r>
      </w:hyperlink>
    </w:p>
    <w:p w:rsidR="00833E93" w:rsidRDefault="00C45D2C">
      <w:pPr>
        <w:pStyle w:val="20"/>
        <w:tabs>
          <w:tab w:val="right" w:leader="dot" w:pos="8306"/>
        </w:tabs>
        <w:spacing w:line="540" w:lineRule="exact"/>
        <w:ind w:leftChars="0" w:left="0" w:firstLineChars="0" w:firstLine="0"/>
      </w:pPr>
      <w:hyperlink w:anchor="_Toc25956" w:history="1">
        <w:r w:rsidR="00E53BDD">
          <w:rPr>
            <w:rFonts w:ascii="楷体_GB2312" w:eastAsia="楷体_GB2312" w:hAnsi="楷体_GB2312" w:cs="楷体_GB2312" w:hint="eastAsia"/>
            <w:sz w:val="32"/>
            <w:szCs w:val="32"/>
          </w:rPr>
          <w:t>（三）促进知识产权多元化运营</w:t>
        </w:r>
        <w:r w:rsidR="00E53BDD">
          <w:tab/>
        </w:r>
        <w:r w:rsidR="002F3B9D">
          <w:rPr>
            <w:rFonts w:hint="eastAsia"/>
          </w:rPr>
          <w:t>14</w:t>
        </w:r>
      </w:hyperlink>
    </w:p>
    <w:p w:rsidR="00833E93" w:rsidRDefault="00C45D2C">
      <w:pPr>
        <w:pStyle w:val="20"/>
        <w:tabs>
          <w:tab w:val="right" w:leader="dot" w:pos="8306"/>
        </w:tabs>
        <w:spacing w:line="540" w:lineRule="exact"/>
        <w:ind w:leftChars="0" w:left="0" w:firstLineChars="0" w:firstLine="0"/>
      </w:pPr>
      <w:hyperlink w:anchor="_Toc22064" w:history="1">
        <w:r w:rsidR="00E53BDD" w:rsidRPr="00E53BDD">
          <w:rPr>
            <w:rFonts w:ascii="仿宋" w:eastAsia="仿宋_GB2312" w:hAnsi="仿宋" w:hint="eastAsia"/>
            <w:sz w:val="32"/>
            <w:szCs w:val="32"/>
          </w:rPr>
          <w:t>7.</w:t>
        </w:r>
        <w:r w:rsidR="00E53BDD" w:rsidRPr="00E53BDD">
          <w:rPr>
            <w:rFonts w:ascii="仿宋" w:eastAsia="仿宋_GB2312" w:hAnsi="仿宋" w:hint="eastAsia"/>
            <w:sz w:val="32"/>
            <w:szCs w:val="32"/>
          </w:rPr>
          <w:t>完善知识产权运营机制</w:t>
        </w:r>
        <w:r w:rsidR="00E53BDD">
          <w:tab/>
        </w:r>
        <w:r w:rsidR="002F3B9D">
          <w:rPr>
            <w:rFonts w:hint="eastAsia"/>
          </w:rPr>
          <w:t>14</w:t>
        </w:r>
      </w:hyperlink>
    </w:p>
    <w:p w:rsidR="00833E93" w:rsidRDefault="00C45D2C">
      <w:pPr>
        <w:pStyle w:val="20"/>
        <w:tabs>
          <w:tab w:val="right" w:leader="dot" w:pos="8306"/>
        </w:tabs>
        <w:spacing w:line="540" w:lineRule="exact"/>
        <w:ind w:leftChars="0" w:left="0" w:firstLineChars="0" w:firstLine="0"/>
      </w:pPr>
      <w:hyperlink w:anchor="_Toc10901" w:history="1">
        <w:r w:rsidR="00E53BDD" w:rsidRPr="00E53BDD">
          <w:rPr>
            <w:rFonts w:ascii="仿宋" w:eastAsia="仿宋_GB2312" w:hAnsi="仿宋" w:hint="eastAsia"/>
            <w:sz w:val="32"/>
            <w:szCs w:val="32"/>
          </w:rPr>
          <w:t>8.</w:t>
        </w:r>
        <w:r w:rsidR="00E53BDD" w:rsidRPr="00E53BDD">
          <w:rPr>
            <w:rFonts w:ascii="仿宋" w:eastAsia="仿宋_GB2312" w:hAnsi="仿宋" w:hint="eastAsia"/>
            <w:sz w:val="32"/>
            <w:szCs w:val="32"/>
          </w:rPr>
          <w:t>推动知识产权与资本融合</w:t>
        </w:r>
        <w:r w:rsidR="00E53BDD">
          <w:tab/>
        </w:r>
        <w:r w:rsidR="002F3B9D">
          <w:rPr>
            <w:rFonts w:hint="eastAsia"/>
          </w:rPr>
          <w:t>14</w:t>
        </w:r>
      </w:hyperlink>
    </w:p>
    <w:p w:rsidR="00833E93" w:rsidRDefault="00C45D2C">
      <w:pPr>
        <w:pStyle w:val="20"/>
        <w:tabs>
          <w:tab w:val="right" w:leader="dot" w:pos="8306"/>
        </w:tabs>
        <w:spacing w:line="540" w:lineRule="exact"/>
        <w:ind w:leftChars="0" w:left="0" w:firstLineChars="0" w:firstLine="0"/>
      </w:pPr>
      <w:hyperlink w:anchor="_Toc24183" w:history="1">
        <w:r w:rsidR="00E53BDD" w:rsidRPr="00E53BDD">
          <w:rPr>
            <w:rFonts w:ascii="仿宋" w:eastAsia="仿宋_GB2312" w:hAnsi="仿宋" w:hint="eastAsia"/>
            <w:sz w:val="32"/>
            <w:szCs w:val="32"/>
          </w:rPr>
          <w:t>9.</w:t>
        </w:r>
        <w:r w:rsidR="00E53BDD" w:rsidRPr="00E53BDD">
          <w:rPr>
            <w:rFonts w:ascii="仿宋" w:eastAsia="仿宋_GB2312" w:hAnsi="仿宋" w:hint="eastAsia"/>
            <w:sz w:val="32"/>
            <w:szCs w:val="32"/>
          </w:rPr>
          <w:t>促进知识产权成果转化</w:t>
        </w:r>
        <w:r w:rsidR="00E53BDD">
          <w:tab/>
        </w:r>
        <w:r w:rsidR="002F3B9D">
          <w:rPr>
            <w:rFonts w:hint="eastAsia"/>
          </w:rPr>
          <w:t>15</w:t>
        </w:r>
      </w:hyperlink>
    </w:p>
    <w:p w:rsidR="00833E93" w:rsidRDefault="00C45D2C">
      <w:pPr>
        <w:pStyle w:val="20"/>
        <w:tabs>
          <w:tab w:val="right" w:leader="dot" w:pos="8306"/>
        </w:tabs>
        <w:spacing w:line="540" w:lineRule="exact"/>
        <w:ind w:leftChars="0" w:left="0" w:firstLineChars="0" w:firstLine="0"/>
      </w:pPr>
      <w:hyperlink w:anchor="_Toc32593" w:history="1">
        <w:r w:rsidR="00E53BDD">
          <w:rPr>
            <w:rFonts w:ascii="楷体_GB2312" w:eastAsia="楷体_GB2312" w:hAnsi="楷体_GB2312" w:cs="楷体_GB2312" w:hint="eastAsia"/>
            <w:sz w:val="32"/>
            <w:szCs w:val="32"/>
          </w:rPr>
          <w:t>（四）强化知识产权全链条保护</w:t>
        </w:r>
        <w:r w:rsidR="00E53BDD">
          <w:tab/>
        </w:r>
        <w:r w:rsidR="002F3B9D">
          <w:rPr>
            <w:rFonts w:hint="eastAsia"/>
          </w:rPr>
          <w:t>15</w:t>
        </w:r>
      </w:hyperlink>
    </w:p>
    <w:p w:rsidR="00833E93" w:rsidRDefault="00C45D2C">
      <w:pPr>
        <w:pStyle w:val="20"/>
        <w:tabs>
          <w:tab w:val="right" w:leader="dot" w:pos="8306"/>
        </w:tabs>
        <w:spacing w:line="540" w:lineRule="exact"/>
        <w:ind w:leftChars="0" w:left="0" w:firstLineChars="0" w:firstLine="0"/>
      </w:pPr>
      <w:hyperlink w:anchor="_Toc14388" w:history="1">
        <w:r w:rsidR="00E53BDD" w:rsidRPr="00E53BDD">
          <w:rPr>
            <w:rFonts w:ascii="仿宋" w:eastAsia="仿宋_GB2312" w:hAnsi="仿宋" w:hint="eastAsia"/>
            <w:sz w:val="32"/>
            <w:szCs w:val="32"/>
          </w:rPr>
          <w:t>10.</w:t>
        </w:r>
        <w:r w:rsidR="00E53BDD" w:rsidRPr="00E53BDD">
          <w:rPr>
            <w:rFonts w:ascii="仿宋" w:eastAsia="仿宋_GB2312" w:hAnsi="仿宋" w:hint="eastAsia"/>
            <w:sz w:val="32"/>
            <w:szCs w:val="32"/>
          </w:rPr>
          <w:t>完善知识产权大保护机制</w:t>
        </w:r>
        <w:r w:rsidR="00E53BDD">
          <w:tab/>
        </w:r>
        <w:r w:rsidR="002F3B9D">
          <w:rPr>
            <w:rFonts w:hint="eastAsia"/>
          </w:rPr>
          <w:t>15</w:t>
        </w:r>
      </w:hyperlink>
    </w:p>
    <w:p w:rsidR="00833E93" w:rsidRDefault="00C45D2C">
      <w:pPr>
        <w:pStyle w:val="20"/>
        <w:tabs>
          <w:tab w:val="right" w:leader="dot" w:pos="8306"/>
        </w:tabs>
        <w:spacing w:line="540" w:lineRule="exact"/>
        <w:ind w:leftChars="0" w:left="0" w:firstLineChars="0" w:firstLine="0"/>
      </w:pPr>
      <w:hyperlink w:anchor="_Toc2151" w:history="1">
        <w:r w:rsidR="00E53BDD" w:rsidRPr="00E53BDD">
          <w:rPr>
            <w:rFonts w:ascii="仿宋" w:eastAsia="仿宋_GB2312" w:hAnsi="仿宋" w:hint="eastAsia"/>
            <w:sz w:val="32"/>
            <w:szCs w:val="32"/>
          </w:rPr>
          <w:t>11.</w:t>
        </w:r>
        <w:r w:rsidR="00E53BDD" w:rsidRPr="00E53BDD">
          <w:rPr>
            <w:rFonts w:ascii="仿宋" w:eastAsia="仿宋_GB2312" w:hAnsi="仿宋" w:hint="eastAsia"/>
            <w:sz w:val="32"/>
            <w:szCs w:val="32"/>
          </w:rPr>
          <w:t>提升知识产权保护效能</w:t>
        </w:r>
        <w:r w:rsidR="00E53BDD">
          <w:tab/>
        </w:r>
        <w:r w:rsidR="002F3B9D">
          <w:rPr>
            <w:rFonts w:hint="eastAsia"/>
          </w:rPr>
          <w:t>16</w:t>
        </w:r>
      </w:hyperlink>
    </w:p>
    <w:p w:rsidR="00833E93" w:rsidRDefault="00C45D2C">
      <w:pPr>
        <w:pStyle w:val="20"/>
        <w:tabs>
          <w:tab w:val="right" w:leader="dot" w:pos="8306"/>
        </w:tabs>
        <w:spacing w:line="540" w:lineRule="exact"/>
        <w:ind w:leftChars="0" w:left="0" w:firstLineChars="0" w:firstLine="0"/>
      </w:pPr>
      <w:hyperlink w:anchor="_Toc32685" w:history="1">
        <w:r w:rsidR="00E53BDD" w:rsidRPr="00E53BDD">
          <w:rPr>
            <w:rFonts w:ascii="仿宋" w:eastAsia="仿宋_GB2312" w:hAnsi="仿宋" w:hint="eastAsia"/>
            <w:sz w:val="32"/>
            <w:szCs w:val="32"/>
          </w:rPr>
          <w:t>12.</w:t>
        </w:r>
        <w:r w:rsidR="00E53BDD" w:rsidRPr="00E53BDD">
          <w:rPr>
            <w:rFonts w:ascii="仿宋" w:eastAsia="仿宋_GB2312" w:hAnsi="仿宋" w:hint="eastAsia"/>
            <w:sz w:val="32"/>
            <w:szCs w:val="32"/>
          </w:rPr>
          <w:t>构建知识产权长效保护机制</w:t>
        </w:r>
        <w:r w:rsidR="00E53BDD">
          <w:tab/>
        </w:r>
        <w:r w:rsidR="002F3B9D">
          <w:rPr>
            <w:rFonts w:hint="eastAsia"/>
          </w:rPr>
          <w:t>17</w:t>
        </w:r>
      </w:hyperlink>
    </w:p>
    <w:p w:rsidR="00833E93" w:rsidRDefault="00C45D2C">
      <w:pPr>
        <w:pStyle w:val="20"/>
        <w:tabs>
          <w:tab w:val="right" w:leader="dot" w:pos="8306"/>
        </w:tabs>
        <w:spacing w:line="540" w:lineRule="exact"/>
        <w:ind w:leftChars="0" w:left="0" w:firstLineChars="0" w:firstLine="0"/>
      </w:pPr>
      <w:hyperlink w:anchor="_Toc6385" w:history="1">
        <w:r w:rsidR="00E53BDD" w:rsidRPr="00E53BDD">
          <w:rPr>
            <w:rFonts w:ascii="仿宋" w:eastAsia="仿宋_GB2312" w:hAnsi="仿宋" w:hint="eastAsia"/>
            <w:sz w:val="32"/>
            <w:szCs w:val="32"/>
          </w:rPr>
          <w:t>13.</w:t>
        </w:r>
        <w:r w:rsidR="00E53BDD" w:rsidRPr="00E53BDD">
          <w:rPr>
            <w:rFonts w:ascii="仿宋" w:eastAsia="仿宋_GB2312" w:hAnsi="仿宋" w:hint="eastAsia"/>
            <w:sz w:val="32"/>
            <w:szCs w:val="32"/>
          </w:rPr>
          <w:t>健全知识产权纠纷多元化解机制</w:t>
        </w:r>
        <w:r w:rsidR="00E53BDD">
          <w:tab/>
        </w:r>
        <w:r w:rsidR="002F3B9D">
          <w:rPr>
            <w:rFonts w:hint="eastAsia"/>
          </w:rPr>
          <w:t>17</w:t>
        </w:r>
      </w:hyperlink>
    </w:p>
    <w:p w:rsidR="00833E93" w:rsidRDefault="00C45D2C">
      <w:pPr>
        <w:pStyle w:val="20"/>
        <w:tabs>
          <w:tab w:val="right" w:leader="dot" w:pos="8306"/>
        </w:tabs>
        <w:spacing w:line="540" w:lineRule="exact"/>
        <w:ind w:leftChars="0" w:left="0" w:firstLineChars="0" w:firstLine="0"/>
      </w:pPr>
      <w:hyperlink w:anchor="_Toc27601" w:history="1">
        <w:r w:rsidR="00E53BDD">
          <w:rPr>
            <w:rFonts w:ascii="楷体_GB2312" w:eastAsia="楷体_GB2312" w:hAnsi="楷体_GB2312" w:cs="楷体_GB2312" w:hint="eastAsia"/>
            <w:sz w:val="32"/>
            <w:szCs w:val="32"/>
          </w:rPr>
          <w:t>（五）优化知识产权服务体系</w:t>
        </w:r>
        <w:r w:rsidR="00E53BDD">
          <w:tab/>
        </w:r>
        <w:r w:rsidR="002F3B9D">
          <w:rPr>
            <w:rFonts w:hint="eastAsia"/>
          </w:rPr>
          <w:t>17</w:t>
        </w:r>
      </w:hyperlink>
    </w:p>
    <w:p w:rsidR="00833E93" w:rsidRDefault="00C45D2C">
      <w:pPr>
        <w:pStyle w:val="20"/>
        <w:tabs>
          <w:tab w:val="right" w:leader="dot" w:pos="8306"/>
        </w:tabs>
        <w:spacing w:line="540" w:lineRule="exact"/>
        <w:ind w:leftChars="0" w:left="0" w:firstLineChars="0" w:firstLine="0"/>
      </w:pPr>
      <w:hyperlink w:anchor="_Toc856" w:history="1">
        <w:r w:rsidR="00E53BDD" w:rsidRPr="00E53BDD">
          <w:rPr>
            <w:rFonts w:ascii="仿宋" w:eastAsia="仿宋_GB2312" w:hAnsi="仿宋" w:hint="eastAsia"/>
            <w:sz w:val="32"/>
            <w:szCs w:val="32"/>
          </w:rPr>
          <w:t>14.</w:t>
        </w:r>
        <w:r w:rsidR="00E53BDD" w:rsidRPr="00E53BDD">
          <w:rPr>
            <w:rFonts w:ascii="仿宋" w:eastAsia="仿宋_GB2312" w:hAnsi="仿宋" w:hint="eastAsia"/>
            <w:sz w:val="32"/>
            <w:szCs w:val="32"/>
          </w:rPr>
          <w:t>完善知识产权公共服务平台</w:t>
        </w:r>
        <w:r w:rsidR="00E53BDD">
          <w:tab/>
        </w:r>
        <w:r w:rsidR="002F3B9D">
          <w:rPr>
            <w:rFonts w:hint="eastAsia"/>
          </w:rPr>
          <w:t>17</w:t>
        </w:r>
      </w:hyperlink>
    </w:p>
    <w:p w:rsidR="00833E93" w:rsidRDefault="00C45D2C">
      <w:pPr>
        <w:pStyle w:val="20"/>
        <w:tabs>
          <w:tab w:val="right" w:leader="dot" w:pos="8306"/>
        </w:tabs>
        <w:spacing w:line="540" w:lineRule="exact"/>
        <w:ind w:leftChars="0" w:left="0" w:firstLineChars="0" w:firstLine="0"/>
      </w:pPr>
      <w:hyperlink w:anchor="_Toc1979" w:history="1">
        <w:r w:rsidR="00E53BDD" w:rsidRPr="00E53BDD">
          <w:rPr>
            <w:rFonts w:ascii="仿宋" w:eastAsia="仿宋_GB2312" w:hAnsi="仿宋" w:hint="eastAsia"/>
            <w:sz w:val="32"/>
            <w:szCs w:val="32"/>
          </w:rPr>
          <w:t>15.</w:t>
        </w:r>
        <w:r w:rsidR="00E53BDD" w:rsidRPr="00E53BDD">
          <w:rPr>
            <w:rFonts w:ascii="仿宋" w:eastAsia="仿宋_GB2312" w:hAnsi="仿宋" w:hint="eastAsia"/>
            <w:sz w:val="32"/>
            <w:szCs w:val="32"/>
          </w:rPr>
          <w:t>增强知识产权专业服务能力</w:t>
        </w:r>
        <w:r w:rsidR="00E53BDD">
          <w:tab/>
        </w:r>
        <w:r w:rsidR="002F3B9D">
          <w:rPr>
            <w:rFonts w:hint="eastAsia"/>
          </w:rPr>
          <w:t>1</w:t>
        </w:r>
        <w:r>
          <w:fldChar w:fldCharType="begin"/>
        </w:r>
        <w:r w:rsidR="00E53BDD">
          <w:instrText xml:space="preserve"> PAGEREF _Toc1979 \h </w:instrText>
        </w:r>
        <w:r>
          <w:fldChar w:fldCharType="separate"/>
        </w:r>
        <w:r w:rsidR="00E53BDD">
          <w:rPr>
            <w:noProof/>
          </w:rPr>
          <w:t>8</w:t>
        </w:r>
        <w:r>
          <w:fldChar w:fldCharType="end"/>
        </w:r>
      </w:hyperlink>
    </w:p>
    <w:p w:rsidR="00833E93" w:rsidRDefault="00C45D2C">
      <w:pPr>
        <w:pStyle w:val="20"/>
        <w:tabs>
          <w:tab w:val="right" w:leader="dot" w:pos="8306"/>
        </w:tabs>
        <w:spacing w:line="540" w:lineRule="exact"/>
        <w:ind w:leftChars="0" w:left="0" w:firstLineChars="0" w:firstLine="0"/>
      </w:pPr>
      <w:hyperlink w:anchor="_Toc26461" w:history="1">
        <w:r w:rsidR="00E53BDD" w:rsidRPr="00E53BDD">
          <w:rPr>
            <w:rFonts w:ascii="仿宋" w:eastAsia="仿宋_GB2312" w:hAnsi="仿宋" w:hint="eastAsia"/>
            <w:sz w:val="32"/>
            <w:szCs w:val="32"/>
          </w:rPr>
          <w:t>16.</w:t>
        </w:r>
        <w:r w:rsidR="00E53BDD" w:rsidRPr="00E53BDD">
          <w:rPr>
            <w:rFonts w:ascii="仿宋" w:eastAsia="仿宋_GB2312" w:hAnsi="仿宋" w:hint="eastAsia"/>
            <w:sz w:val="32"/>
            <w:szCs w:val="32"/>
          </w:rPr>
          <w:t>加强知识产权服务行业监管</w:t>
        </w:r>
        <w:r w:rsidR="00E53BDD">
          <w:tab/>
        </w:r>
        <w:r w:rsidR="002F3B9D">
          <w:rPr>
            <w:rFonts w:hint="eastAsia"/>
          </w:rPr>
          <w:t>19</w:t>
        </w:r>
      </w:hyperlink>
    </w:p>
    <w:p w:rsidR="00833E93" w:rsidRDefault="00C45D2C">
      <w:pPr>
        <w:pStyle w:val="20"/>
        <w:tabs>
          <w:tab w:val="right" w:leader="dot" w:pos="8306"/>
        </w:tabs>
        <w:spacing w:line="540" w:lineRule="exact"/>
        <w:ind w:leftChars="0" w:left="0" w:firstLineChars="0" w:firstLine="0"/>
      </w:pPr>
      <w:hyperlink w:anchor="_Toc22795" w:history="1">
        <w:r w:rsidR="00E53BDD">
          <w:rPr>
            <w:rFonts w:ascii="楷体_GB2312" w:eastAsia="楷体_GB2312" w:hAnsi="楷体_GB2312" w:cs="楷体_GB2312" w:hint="eastAsia"/>
            <w:sz w:val="32"/>
            <w:szCs w:val="32"/>
          </w:rPr>
          <w:t>（六）打造知识产权人才高地</w:t>
        </w:r>
        <w:r w:rsidR="00E53BDD">
          <w:tab/>
        </w:r>
        <w:r w:rsidR="002F3B9D">
          <w:rPr>
            <w:rFonts w:hint="eastAsia"/>
          </w:rPr>
          <w:t>20</w:t>
        </w:r>
      </w:hyperlink>
    </w:p>
    <w:p w:rsidR="00833E93" w:rsidRDefault="00C45D2C">
      <w:pPr>
        <w:pStyle w:val="20"/>
        <w:tabs>
          <w:tab w:val="right" w:leader="dot" w:pos="8306"/>
        </w:tabs>
        <w:spacing w:line="540" w:lineRule="exact"/>
        <w:ind w:leftChars="0" w:left="0" w:firstLineChars="0" w:firstLine="0"/>
      </w:pPr>
      <w:hyperlink w:anchor="_Toc3441" w:history="1">
        <w:r w:rsidR="00E53BDD" w:rsidRPr="00E53BDD">
          <w:rPr>
            <w:rFonts w:ascii="仿宋" w:eastAsia="仿宋_GB2312" w:hAnsi="仿宋" w:hint="eastAsia"/>
            <w:sz w:val="32"/>
            <w:szCs w:val="32"/>
          </w:rPr>
          <w:t>17.</w:t>
        </w:r>
        <w:r w:rsidR="00E53BDD" w:rsidRPr="00E53BDD">
          <w:rPr>
            <w:rFonts w:ascii="仿宋" w:eastAsia="仿宋_GB2312" w:hAnsi="仿宋" w:hint="eastAsia"/>
            <w:sz w:val="32"/>
            <w:szCs w:val="32"/>
          </w:rPr>
          <w:t>营造知识产权人才发展环境</w:t>
        </w:r>
        <w:r w:rsidR="00E53BDD">
          <w:tab/>
        </w:r>
        <w:r w:rsidR="002F3B9D">
          <w:rPr>
            <w:rFonts w:hint="eastAsia"/>
          </w:rPr>
          <w:t>20</w:t>
        </w:r>
      </w:hyperlink>
    </w:p>
    <w:p w:rsidR="00833E93" w:rsidRDefault="00C45D2C">
      <w:pPr>
        <w:pStyle w:val="20"/>
        <w:tabs>
          <w:tab w:val="right" w:leader="dot" w:pos="8306"/>
        </w:tabs>
        <w:spacing w:line="540" w:lineRule="exact"/>
        <w:ind w:leftChars="0" w:left="0" w:firstLineChars="0" w:firstLine="0"/>
      </w:pPr>
      <w:hyperlink w:anchor="_Toc25182" w:history="1">
        <w:r w:rsidR="00E53BDD" w:rsidRPr="00E53BDD">
          <w:rPr>
            <w:rFonts w:ascii="仿宋" w:eastAsia="仿宋_GB2312" w:hAnsi="仿宋" w:hint="eastAsia"/>
            <w:sz w:val="32"/>
            <w:szCs w:val="32"/>
          </w:rPr>
          <w:t>18.</w:t>
        </w:r>
        <w:r w:rsidR="00E53BDD" w:rsidRPr="00E53BDD">
          <w:rPr>
            <w:rFonts w:ascii="仿宋" w:eastAsia="仿宋_GB2312" w:hAnsi="仿宋" w:hint="eastAsia"/>
            <w:sz w:val="32"/>
            <w:szCs w:val="32"/>
          </w:rPr>
          <w:t>加大知识产权人才培养力度</w:t>
        </w:r>
        <w:r w:rsidR="00E53BDD">
          <w:tab/>
        </w:r>
        <w:r w:rsidR="002F3B9D">
          <w:rPr>
            <w:rFonts w:hint="eastAsia"/>
          </w:rPr>
          <w:t>20</w:t>
        </w:r>
      </w:hyperlink>
    </w:p>
    <w:p w:rsidR="00833E93" w:rsidRDefault="00C45D2C">
      <w:pPr>
        <w:pStyle w:val="20"/>
        <w:tabs>
          <w:tab w:val="right" w:leader="dot" w:pos="8306"/>
        </w:tabs>
        <w:spacing w:line="540" w:lineRule="exact"/>
        <w:ind w:leftChars="0" w:left="0" w:firstLineChars="0" w:firstLine="0"/>
      </w:pPr>
      <w:hyperlink w:anchor="_Toc8685" w:history="1">
        <w:r w:rsidR="00E53BDD" w:rsidRPr="00E53BDD">
          <w:rPr>
            <w:rFonts w:ascii="仿宋" w:eastAsia="仿宋_GB2312" w:hAnsi="仿宋" w:hint="eastAsia"/>
            <w:sz w:val="32"/>
            <w:szCs w:val="32"/>
          </w:rPr>
          <w:t>19.</w:t>
        </w:r>
        <w:r w:rsidR="00E53BDD" w:rsidRPr="00E53BDD">
          <w:rPr>
            <w:rFonts w:ascii="仿宋" w:eastAsia="仿宋_GB2312" w:hAnsi="仿宋" w:hint="eastAsia"/>
            <w:sz w:val="32"/>
            <w:szCs w:val="32"/>
          </w:rPr>
          <w:t>完善知识产权人才评价使用机制</w:t>
        </w:r>
        <w:r w:rsidR="00E53BDD">
          <w:tab/>
        </w:r>
        <w:r w:rsidR="002F3B9D">
          <w:rPr>
            <w:rFonts w:hint="eastAsia"/>
          </w:rPr>
          <w:t>21</w:t>
        </w:r>
      </w:hyperlink>
    </w:p>
    <w:p w:rsidR="00833E93" w:rsidRDefault="00C45D2C">
      <w:pPr>
        <w:pStyle w:val="20"/>
        <w:tabs>
          <w:tab w:val="right" w:leader="dot" w:pos="8306"/>
        </w:tabs>
        <w:spacing w:line="540" w:lineRule="exact"/>
        <w:ind w:leftChars="0" w:left="0" w:firstLineChars="0" w:firstLine="0"/>
      </w:pPr>
      <w:hyperlink w:anchor="_Toc10795" w:history="1">
        <w:r w:rsidR="00E53BDD">
          <w:rPr>
            <w:rFonts w:ascii="楷体_GB2312" w:eastAsia="楷体_GB2312" w:hAnsi="楷体_GB2312" w:cs="楷体_GB2312" w:hint="eastAsia"/>
            <w:sz w:val="32"/>
            <w:szCs w:val="32"/>
          </w:rPr>
          <w:t>（七）优化知识产权境外合作与防控体系</w:t>
        </w:r>
        <w:r w:rsidR="00E53BDD">
          <w:tab/>
        </w:r>
        <w:r w:rsidR="002F3B9D">
          <w:rPr>
            <w:rFonts w:hint="eastAsia"/>
          </w:rPr>
          <w:t>21</w:t>
        </w:r>
      </w:hyperlink>
    </w:p>
    <w:p w:rsidR="00833E93" w:rsidRDefault="00C45D2C">
      <w:pPr>
        <w:pStyle w:val="20"/>
        <w:tabs>
          <w:tab w:val="right" w:leader="dot" w:pos="8306"/>
        </w:tabs>
        <w:spacing w:line="540" w:lineRule="exact"/>
        <w:ind w:leftChars="0" w:left="0" w:firstLineChars="0" w:firstLine="0"/>
      </w:pPr>
      <w:hyperlink w:anchor="_Toc30438" w:history="1">
        <w:r w:rsidR="00E53BDD" w:rsidRPr="00E53BDD">
          <w:rPr>
            <w:rFonts w:ascii="仿宋" w:eastAsia="仿宋_GB2312" w:hAnsi="仿宋" w:hint="eastAsia"/>
            <w:sz w:val="32"/>
            <w:szCs w:val="32"/>
          </w:rPr>
          <w:t>20.</w:t>
        </w:r>
        <w:r w:rsidR="00E53BDD" w:rsidRPr="00E53BDD">
          <w:rPr>
            <w:rFonts w:ascii="仿宋" w:eastAsia="仿宋_GB2312" w:hAnsi="仿宋" w:hint="eastAsia"/>
            <w:sz w:val="32"/>
            <w:szCs w:val="32"/>
          </w:rPr>
          <w:t>深化中德知识产权创新合作发展</w:t>
        </w:r>
        <w:r w:rsidR="00E53BDD">
          <w:tab/>
        </w:r>
        <w:r w:rsidR="002F3B9D">
          <w:rPr>
            <w:rFonts w:hint="eastAsia"/>
          </w:rPr>
          <w:t>21</w:t>
        </w:r>
      </w:hyperlink>
    </w:p>
    <w:p w:rsidR="00833E93" w:rsidRDefault="00C45D2C">
      <w:pPr>
        <w:pStyle w:val="20"/>
        <w:tabs>
          <w:tab w:val="right" w:leader="dot" w:pos="8306"/>
        </w:tabs>
        <w:spacing w:line="540" w:lineRule="exact"/>
        <w:ind w:leftChars="0" w:left="0" w:firstLineChars="0" w:firstLine="0"/>
      </w:pPr>
      <w:hyperlink w:anchor="_Toc29124" w:history="1">
        <w:r w:rsidR="00E53BDD" w:rsidRPr="00E53BDD">
          <w:rPr>
            <w:rFonts w:ascii="仿宋" w:eastAsia="仿宋_GB2312" w:hAnsi="仿宋" w:hint="eastAsia"/>
            <w:sz w:val="32"/>
            <w:szCs w:val="32"/>
          </w:rPr>
          <w:t>21.</w:t>
        </w:r>
        <w:r w:rsidR="00E53BDD" w:rsidRPr="00E53BDD">
          <w:rPr>
            <w:rFonts w:ascii="仿宋" w:eastAsia="仿宋_GB2312" w:hAnsi="仿宋" w:hint="eastAsia"/>
            <w:sz w:val="32"/>
            <w:szCs w:val="32"/>
          </w:rPr>
          <w:t>推进知识产权国际合作交流</w:t>
        </w:r>
        <w:r w:rsidR="00E53BDD">
          <w:tab/>
        </w:r>
        <w:r w:rsidR="002F3B9D">
          <w:rPr>
            <w:rFonts w:hint="eastAsia"/>
          </w:rPr>
          <w:t>22</w:t>
        </w:r>
      </w:hyperlink>
    </w:p>
    <w:p w:rsidR="00833E93" w:rsidRDefault="00C45D2C">
      <w:pPr>
        <w:pStyle w:val="20"/>
        <w:tabs>
          <w:tab w:val="right" w:leader="dot" w:pos="8306"/>
        </w:tabs>
        <w:spacing w:line="540" w:lineRule="exact"/>
        <w:ind w:leftChars="0" w:left="0" w:firstLineChars="0" w:firstLine="0"/>
      </w:pPr>
      <w:hyperlink w:anchor="_Toc27050" w:history="1">
        <w:r w:rsidR="00E53BDD" w:rsidRPr="00E53BDD">
          <w:rPr>
            <w:rFonts w:ascii="仿宋" w:eastAsia="仿宋_GB2312" w:hAnsi="仿宋" w:hint="eastAsia"/>
            <w:sz w:val="32"/>
            <w:szCs w:val="32"/>
          </w:rPr>
          <w:t>22.</w:t>
        </w:r>
        <w:r w:rsidR="00E53BDD" w:rsidRPr="00E53BDD">
          <w:rPr>
            <w:rFonts w:ascii="仿宋" w:eastAsia="仿宋_GB2312" w:hAnsi="仿宋" w:hint="eastAsia"/>
            <w:sz w:val="32"/>
            <w:szCs w:val="32"/>
          </w:rPr>
          <w:t>提升企业知识产权海外纠纷应对能力</w:t>
        </w:r>
        <w:r w:rsidR="00E53BDD">
          <w:tab/>
        </w:r>
        <w:r w:rsidR="002F3B9D">
          <w:rPr>
            <w:rFonts w:hint="eastAsia"/>
          </w:rPr>
          <w:t>22</w:t>
        </w:r>
      </w:hyperlink>
    </w:p>
    <w:p w:rsidR="00833E93" w:rsidRDefault="00C45D2C">
      <w:pPr>
        <w:pStyle w:val="20"/>
        <w:tabs>
          <w:tab w:val="right" w:leader="dot" w:pos="8306"/>
        </w:tabs>
        <w:spacing w:line="540" w:lineRule="exact"/>
        <w:ind w:leftChars="0" w:left="0" w:firstLineChars="0" w:firstLine="0"/>
      </w:pPr>
      <w:hyperlink w:anchor="_Toc25953" w:history="1">
        <w:r w:rsidR="00E53BDD">
          <w:rPr>
            <w:rFonts w:ascii="楷体_GB2312" w:eastAsia="楷体_GB2312" w:hAnsi="楷体_GB2312" w:cs="楷体_GB2312" w:hint="eastAsia"/>
            <w:sz w:val="32"/>
            <w:szCs w:val="32"/>
          </w:rPr>
          <w:t>（八）融入长三角知识产权一体化发展</w:t>
        </w:r>
        <w:r w:rsidR="00E53BDD">
          <w:tab/>
        </w:r>
        <w:r w:rsidR="002F3B9D">
          <w:rPr>
            <w:rFonts w:hint="eastAsia"/>
          </w:rPr>
          <w:t>22</w:t>
        </w:r>
      </w:hyperlink>
    </w:p>
    <w:p w:rsidR="00833E93" w:rsidRDefault="00C45D2C">
      <w:pPr>
        <w:pStyle w:val="20"/>
        <w:tabs>
          <w:tab w:val="right" w:leader="dot" w:pos="8306"/>
        </w:tabs>
        <w:spacing w:line="540" w:lineRule="exact"/>
        <w:ind w:leftChars="0" w:left="0" w:firstLineChars="0" w:firstLine="0"/>
      </w:pPr>
      <w:hyperlink w:anchor="_Toc12594" w:history="1">
        <w:r w:rsidR="00E53BDD" w:rsidRPr="00E53BDD">
          <w:rPr>
            <w:rFonts w:ascii="仿宋" w:eastAsia="仿宋_GB2312" w:hAnsi="仿宋" w:hint="eastAsia"/>
            <w:sz w:val="32"/>
            <w:szCs w:val="32"/>
          </w:rPr>
          <w:t>23.</w:t>
        </w:r>
        <w:r w:rsidR="00E53BDD" w:rsidRPr="00E53BDD">
          <w:rPr>
            <w:rFonts w:ascii="仿宋" w:eastAsia="仿宋_GB2312" w:hAnsi="仿宋" w:hint="eastAsia"/>
            <w:sz w:val="32"/>
            <w:szCs w:val="32"/>
          </w:rPr>
          <w:t>推进区域知识产权协同创新发展</w:t>
        </w:r>
        <w:r w:rsidR="00E53BDD">
          <w:tab/>
        </w:r>
        <w:r w:rsidR="002F3B9D">
          <w:rPr>
            <w:rFonts w:hint="eastAsia"/>
          </w:rPr>
          <w:t>22</w:t>
        </w:r>
      </w:hyperlink>
    </w:p>
    <w:p w:rsidR="00833E93" w:rsidRDefault="00C45D2C">
      <w:pPr>
        <w:pStyle w:val="10"/>
        <w:tabs>
          <w:tab w:val="right" w:leader="dot" w:pos="8306"/>
        </w:tabs>
        <w:spacing w:line="540" w:lineRule="exact"/>
        <w:ind w:firstLineChars="0" w:firstLine="0"/>
      </w:pPr>
      <w:hyperlink w:anchor="_Toc5453" w:history="1">
        <w:r w:rsidR="00E53BDD">
          <w:rPr>
            <w:rFonts w:ascii="黑体" w:eastAsia="黑体" w:hAnsi="黑体" w:cs="黑体" w:hint="eastAsia"/>
            <w:sz w:val="32"/>
            <w:szCs w:val="32"/>
          </w:rPr>
          <w:t>四、工作保障</w:t>
        </w:r>
        <w:r w:rsidR="00E53BDD">
          <w:tab/>
        </w:r>
        <w:r w:rsidR="002F3B9D">
          <w:rPr>
            <w:rFonts w:hint="eastAsia"/>
          </w:rPr>
          <w:t>23</w:t>
        </w:r>
      </w:hyperlink>
    </w:p>
    <w:p w:rsidR="00833E93" w:rsidRDefault="00C45D2C">
      <w:pPr>
        <w:pStyle w:val="20"/>
        <w:tabs>
          <w:tab w:val="right" w:leader="dot" w:pos="8306"/>
        </w:tabs>
        <w:spacing w:line="540" w:lineRule="exact"/>
        <w:ind w:leftChars="0" w:left="0" w:firstLineChars="0" w:firstLine="0"/>
      </w:pPr>
      <w:hyperlink w:anchor="_Toc17670" w:history="1">
        <w:r w:rsidR="00E53BDD">
          <w:rPr>
            <w:rFonts w:ascii="楷体_GB2312" w:eastAsia="楷体_GB2312" w:hAnsi="楷体_GB2312" w:cs="楷体_GB2312" w:hint="eastAsia"/>
            <w:sz w:val="32"/>
            <w:szCs w:val="32"/>
          </w:rPr>
          <w:t>（一）加强组织领导</w:t>
        </w:r>
        <w:r w:rsidR="00E53BDD">
          <w:tab/>
        </w:r>
        <w:r w:rsidR="002F3B9D">
          <w:rPr>
            <w:rFonts w:hint="eastAsia"/>
          </w:rPr>
          <w:t>23</w:t>
        </w:r>
      </w:hyperlink>
    </w:p>
    <w:p w:rsidR="00833E93" w:rsidRDefault="00C45D2C">
      <w:pPr>
        <w:pStyle w:val="20"/>
        <w:tabs>
          <w:tab w:val="right" w:leader="dot" w:pos="8306"/>
        </w:tabs>
        <w:spacing w:line="540" w:lineRule="exact"/>
        <w:ind w:leftChars="0" w:left="0" w:firstLineChars="0" w:firstLine="0"/>
      </w:pPr>
      <w:hyperlink w:anchor="_Toc18862" w:history="1">
        <w:r w:rsidR="00E53BDD">
          <w:rPr>
            <w:rFonts w:ascii="楷体_GB2312" w:eastAsia="楷体_GB2312" w:hAnsi="楷体_GB2312" w:cs="楷体_GB2312" w:hint="eastAsia"/>
            <w:sz w:val="32"/>
            <w:szCs w:val="32"/>
          </w:rPr>
          <w:t>（二）加大投入力度</w:t>
        </w:r>
        <w:r w:rsidR="00E53BDD">
          <w:tab/>
        </w:r>
        <w:r w:rsidR="002F3B9D">
          <w:rPr>
            <w:rFonts w:hint="eastAsia"/>
          </w:rPr>
          <w:t>23</w:t>
        </w:r>
      </w:hyperlink>
    </w:p>
    <w:p w:rsidR="00833E93" w:rsidRDefault="00C45D2C">
      <w:pPr>
        <w:pStyle w:val="20"/>
        <w:tabs>
          <w:tab w:val="right" w:leader="dot" w:pos="8306"/>
        </w:tabs>
        <w:spacing w:line="540" w:lineRule="exact"/>
        <w:ind w:leftChars="0" w:left="0" w:firstLineChars="0" w:firstLine="0"/>
      </w:pPr>
      <w:hyperlink w:anchor="_Toc18537" w:history="1">
        <w:r w:rsidR="00E53BDD">
          <w:rPr>
            <w:rFonts w:ascii="楷体_GB2312" w:eastAsia="楷体_GB2312" w:hAnsi="楷体_GB2312" w:cs="楷体_GB2312" w:hint="eastAsia"/>
            <w:sz w:val="32"/>
            <w:szCs w:val="32"/>
          </w:rPr>
          <w:t>（三）强化监测评估</w:t>
        </w:r>
        <w:r w:rsidR="00E53BDD">
          <w:tab/>
        </w:r>
        <w:r w:rsidR="002F3B9D">
          <w:rPr>
            <w:rFonts w:hint="eastAsia"/>
          </w:rPr>
          <w:t>23</w:t>
        </w:r>
      </w:hyperlink>
    </w:p>
    <w:p w:rsidR="00833E93" w:rsidRDefault="00C45D2C">
      <w:pPr>
        <w:pStyle w:val="20"/>
        <w:tabs>
          <w:tab w:val="right" w:leader="dot" w:pos="8306"/>
        </w:tabs>
        <w:spacing w:line="540" w:lineRule="exact"/>
        <w:ind w:leftChars="0" w:left="0" w:firstLineChars="0" w:firstLine="0"/>
      </w:pPr>
      <w:hyperlink w:anchor="_Toc3471" w:history="1">
        <w:r w:rsidR="00E53BDD">
          <w:rPr>
            <w:rFonts w:ascii="楷体_GB2312" w:eastAsia="楷体_GB2312" w:hAnsi="楷体_GB2312" w:cs="楷体_GB2312" w:hint="eastAsia"/>
            <w:sz w:val="32"/>
            <w:szCs w:val="32"/>
          </w:rPr>
          <w:t>（四）营造文化氛围</w:t>
        </w:r>
        <w:r w:rsidR="00E53BDD">
          <w:tab/>
        </w:r>
        <w:r w:rsidR="002F3B9D">
          <w:rPr>
            <w:rFonts w:hint="eastAsia"/>
          </w:rPr>
          <w:t>24</w:t>
        </w:r>
      </w:hyperlink>
    </w:p>
    <w:p w:rsidR="00833E93" w:rsidRDefault="00C45D2C" w:rsidP="00E53BDD">
      <w:pPr>
        <w:pStyle w:val="a1"/>
        <w:ind w:left="480" w:firstLine="643"/>
        <w:sectPr w:rsidR="00833E93">
          <w:footerReference w:type="default" r:id="rId14"/>
          <w:pgSz w:w="11906" w:h="16838"/>
          <w:pgMar w:top="1440" w:right="1800" w:bottom="1440" w:left="1800" w:header="851" w:footer="992" w:gutter="0"/>
          <w:pgNumType w:start="1"/>
          <w:cols w:space="425"/>
          <w:docGrid w:type="lines" w:linePitch="312"/>
        </w:sectPr>
      </w:pPr>
      <w:r>
        <w:fldChar w:fldCharType="end"/>
      </w:r>
    </w:p>
    <w:p w:rsidR="00833E93" w:rsidRDefault="00E53BDD">
      <w:pPr>
        <w:overflowPunct w:val="0"/>
        <w:spacing w:line="560" w:lineRule="exact"/>
        <w:ind w:firstLineChars="800" w:firstLine="3520"/>
        <w:outlineLvl w:val="0"/>
        <w:rPr>
          <w:rFonts w:ascii="方正小标宋_GBK" w:eastAsia="方正小标宋_GBK" w:hAnsi="方正小标宋_GBK" w:cs="方正小标宋_GBK"/>
          <w:sz w:val="44"/>
          <w:szCs w:val="44"/>
        </w:rPr>
      </w:pPr>
      <w:bookmarkStart w:id="6" w:name="_Toc20493"/>
      <w:bookmarkStart w:id="7" w:name="_Toc19905"/>
      <w:bookmarkStart w:id="8" w:name="_Toc29914"/>
      <w:r>
        <w:rPr>
          <w:rFonts w:ascii="方正小标宋_GBK" w:eastAsia="方正小标宋_GBK" w:hAnsi="方正小标宋_GBK" w:cs="方正小标宋_GBK" w:hint="eastAsia"/>
          <w:sz w:val="44"/>
          <w:szCs w:val="44"/>
        </w:rPr>
        <w:t>序  言</w:t>
      </w:r>
      <w:bookmarkEnd w:id="0"/>
      <w:bookmarkEnd w:id="1"/>
      <w:bookmarkEnd w:id="2"/>
      <w:bookmarkEnd w:id="3"/>
      <w:bookmarkEnd w:id="4"/>
      <w:bookmarkEnd w:id="5"/>
      <w:bookmarkEnd w:id="6"/>
      <w:bookmarkEnd w:id="7"/>
      <w:bookmarkEnd w:id="8"/>
    </w:p>
    <w:p w:rsidR="00833E93" w:rsidRDefault="00833E93">
      <w:pPr>
        <w:pStyle w:val="a1"/>
        <w:ind w:left="480" w:firstLine="643"/>
      </w:pPr>
    </w:p>
    <w:p w:rsidR="00833E93" w:rsidRPr="00E53BDD" w:rsidRDefault="00E53BDD">
      <w:pPr>
        <w:adjustRightInd w:val="0"/>
        <w:spacing w:line="600" w:lineRule="exact"/>
        <w:ind w:firstLine="640"/>
        <w:rPr>
          <w:rFonts w:ascii="仿宋" w:eastAsia="仿宋_GB2312" w:hAnsi="仿宋" w:cs="仿宋"/>
          <w:sz w:val="32"/>
          <w:szCs w:val="32"/>
        </w:rPr>
      </w:pPr>
      <w:r w:rsidRPr="00E53BDD">
        <w:rPr>
          <w:rFonts w:ascii="仿宋" w:eastAsia="仿宋_GB2312" w:hAnsi="仿宋" w:cs="仿宋" w:hint="eastAsia"/>
          <w:sz w:val="32"/>
          <w:szCs w:val="32"/>
        </w:rPr>
        <w:t>“十四五”时期，是太仓市深入贯彻落实党的十九大和十九届历次全会精神，全面落</w:t>
      </w:r>
      <w:proofErr w:type="gramStart"/>
      <w:r w:rsidRPr="00E53BDD">
        <w:rPr>
          <w:rFonts w:ascii="仿宋" w:eastAsia="仿宋_GB2312" w:hAnsi="仿宋" w:cs="仿宋" w:hint="eastAsia"/>
          <w:sz w:val="32"/>
          <w:szCs w:val="32"/>
        </w:rPr>
        <w:t>实习近</w:t>
      </w:r>
      <w:proofErr w:type="gramEnd"/>
      <w:r w:rsidRPr="00E53BDD">
        <w:rPr>
          <w:rFonts w:ascii="仿宋" w:eastAsia="仿宋_GB2312" w:hAnsi="仿宋" w:cs="仿宋" w:hint="eastAsia"/>
          <w:sz w:val="32"/>
          <w:szCs w:val="32"/>
        </w:rPr>
        <w:t>平新时代中国特色社会主义思想，准确把握习近平总书记对江苏、对苏州工作重要指示精神，率先实现“沪苏同城化”，加速迈向“现代田园城市、幸福金太仓”</w:t>
      </w:r>
      <w:proofErr w:type="gramStart"/>
      <w:r w:rsidRPr="00E53BDD">
        <w:rPr>
          <w:rFonts w:ascii="仿宋" w:eastAsia="仿宋_GB2312" w:hAnsi="仿宋" w:cs="仿宋" w:hint="eastAsia"/>
          <w:sz w:val="32"/>
          <w:szCs w:val="32"/>
        </w:rPr>
        <w:t>愿景的</w:t>
      </w:r>
      <w:proofErr w:type="gramEnd"/>
      <w:r w:rsidRPr="00E53BDD">
        <w:rPr>
          <w:rFonts w:ascii="仿宋" w:eastAsia="仿宋_GB2312" w:hAnsi="仿宋" w:cs="仿宋" w:hint="eastAsia"/>
          <w:sz w:val="32"/>
          <w:szCs w:val="32"/>
        </w:rPr>
        <w:t>关键时期。为护航太仓市产业转型升级，促进新兴产业蓬勃发展，谋划“全方位、深层次、宽领域”新格局建设，实现知识产权服务太仓市经济社会发展目标，根据《知识产权强国建设纲要（</w:t>
      </w:r>
      <w:r w:rsidRPr="00E53BDD">
        <w:rPr>
          <w:rFonts w:ascii="仿宋" w:eastAsia="仿宋_GB2312" w:hAnsi="仿宋" w:cs="仿宋" w:hint="eastAsia"/>
          <w:sz w:val="32"/>
          <w:szCs w:val="32"/>
        </w:rPr>
        <w:t>2021-2035</w:t>
      </w:r>
      <w:r w:rsidRPr="00E53BDD">
        <w:rPr>
          <w:rFonts w:ascii="仿宋" w:eastAsia="仿宋_GB2312" w:hAnsi="仿宋" w:cs="仿宋" w:hint="eastAsia"/>
          <w:sz w:val="32"/>
          <w:szCs w:val="32"/>
        </w:rPr>
        <w:t>年）》《“十四五”国家知识产权保护和运用规划》《江苏省“十四五”知识产权发展规划》《苏州市“十四五”知识产权发展规划》和《太仓市国民经济和社会发展第十四个五年规划和二</w:t>
      </w:r>
      <w:r w:rsidRPr="00E53BDD">
        <w:rPr>
          <w:rFonts w:ascii="宋体" w:eastAsia="宋体" w:hAnsi="宋体" w:cs="宋体" w:hint="eastAsia"/>
          <w:sz w:val="32"/>
          <w:szCs w:val="32"/>
        </w:rPr>
        <w:t>〇</w:t>
      </w:r>
      <w:r w:rsidRPr="00E53BDD">
        <w:rPr>
          <w:rFonts w:ascii="仿宋_GB2312" w:eastAsia="仿宋_GB2312" w:hAnsi="仿宋_GB2312" w:cs="仿宋_GB2312" w:hint="eastAsia"/>
          <w:sz w:val="32"/>
          <w:szCs w:val="32"/>
        </w:rPr>
        <w:t>三五年远景目标纲要》要求，立足太仓发展现状与发展需求，特制定本规划。明确“十四五”时期太仓市知识产权发展的基本原则、总体目标与主要任务，为未来五年太仓市知识产权事业发展起到指引作用。</w:t>
      </w:r>
    </w:p>
    <w:p w:rsidR="00833E93" w:rsidRDefault="00833E93">
      <w:pPr>
        <w:pStyle w:val="a1"/>
        <w:adjustRightInd w:val="0"/>
        <w:spacing w:line="560" w:lineRule="exact"/>
        <w:ind w:left="480" w:firstLine="643"/>
        <w:outlineLvl w:val="9"/>
      </w:pPr>
    </w:p>
    <w:p w:rsidR="00833E93" w:rsidRDefault="00E53BDD">
      <w:pPr>
        <w:adjustRightInd w:val="0"/>
        <w:spacing w:line="560" w:lineRule="exact"/>
        <w:ind w:firstLine="480"/>
      </w:pPr>
      <w:r>
        <w:br w:type="page"/>
      </w:r>
    </w:p>
    <w:p w:rsidR="00833E93" w:rsidRDefault="00E53BDD">
      <w:pPr>
        <w:pStyle w:val="1"/>
        <w:adjustRightInd w:val="0"/>
        <w:ind w:firstLine="640"/>
      </w:pPr>
      <w:bookmarkStart w:id="9" w:name="_Toc28532"/>
      <w:bookmarkStart w:id="10" w:name="_Toc14841"/>
      <w:bookmarkStart w:id="11" w:name="_Toc22371"/>
      <w:bookmarkStart w:id="12" w:name="_Toc21441"/>
      <w:bookmarkStart w:id="13" w:name="_Toc14263"/>
      <w:bookmarkStart w:id="14" w:name="_Toc2090"/>
      <w:bookmarkStart w:id="15" w:name="_Toc7771"/>
      <w:bookmarkStart w:id="16" w:name="_Toc21970"/>
      <w:bookmarkStart w:id="17" w:name="_Toc21187"/>
      <w:r>
        <w:rPr>
          <w:rFonts w:hint="eastAsia"/>
        </w:rPr>
        <w:t>发展基础与面临形势</w:t>
      </w:r>
      <w:bookmarkEnd w:id="9"/>
      <w:bookmarkEnd w:id="10"/>
      <w:bookmarkEnd w:id="11"/>
      <w:bookmarkEnd w:id="12"/>
      <w:bookmarkEnd w:id="13"/>
      <w:bookmarkEnd w:id="14"/>
      <w:bookmarkEnd w:id="15"/>
      <w:bookmarkEnd w:id="16"/>
      <w:bookmarkEnd w:id="17"/>
    </w:p>
    <w:p w:rsidR="00833E93" w:rsidRPr="00E53BDD" w:rsidRDefault="00E53BDD">
      <w:pPr>
        <w:pStyle w:val="2"/>
        <w:adjustRightInd w:val="0"/>
        <w:ind w:firstLine="640"/>
        <w:rPr>
          <w:rFonts w:eastAsia="楷体_GB2312"/>
        </w:rPr>
      </w:pPr>
      <w:bookmarkStart w:id="18" w:name="_Toc6434"/>
      <w:bookmarkStart w:id="19" w:name="_Toc11731"/>
      <w:bookmarkStart w:id="20" w:name="_Toc3292"/>
      <w:bookmarkStart w:id="21" w:name="_Toc14299"/>
      <w:bookmarkStart w:id="22" w:name="_Toc25543"/>
      <w:bookmarkStart w:id="23" w:name="_Toc17741"/>
      <w:bookmarkStart w:id="24" w:name="_Toc6502"/>
      <w:bookmarkStart w:id="25" w:name="_Toc26411"/>
      <w:bookmarkStart w:id="26" w:name="_Toc31599"/>
      <w:r w:rsidRPr="00E53BDD">
        <w:rPr>
          <w:rFonts w:eastAsia="楷体_GB2312" w:hint="eastAsia"/>
        </w:rPr>
        <w:t>发展基础</w:t>
      </w:r>
      <w:bookmarkEnd w:id="18"/>
      <w:bookmarkEnd w:id="19"/>
      <w:bookmarkEnd w:id="20"/>
      <w:bookmarkEnd w:id="21"/>
      <w:bookmarkEnd w:id="22"/>
      <w:bookmarkEnd w:id="23"/>
      <w:bookmarkEnd w:id="24"/>
      <w:bookmarkEnd w:id="25"/>
      <w:bookmarkEnd w:id="26"/>
    </w:p>
    <w:p w:rsidR="00833E93" w:rsidRPr="00E53BDD" w:rsidRDefault="00E53BDD">
      <w:pPr>
        <w:adjustRightInd w:val="0"/>
        <w:spacing w:line="560" w:lineRule="exact"/>
        <w:ind w:firstLine="643"/>
        <w:outlineLvl w:val="2"/>
        <w:rPr>
          <w:rFonts w:ascii="仿宋" w:eastAsia="仿宋_GB2312" w:hAnsi="仿宋"/>
          <w:b/>
          <w:sz w:val="32"/>
          <w:szCs w:val="32"/>
        </w:rPr>
      </w:pPr>
      <w:bookmarkStart w:id="27" w:name="_Toc30096"/>
      <w:bookmarkStart w:id="28" w:name="_Toc9737"/>
      <w:bookmarkStart w:id="29" w:name="_Toc22579"/>
      <w:bookmarkStart w:id="30" w:name="_Toc13274"/>
      <w:bookmarkStart w:id="31" w:name="_Toc1413"/>
      <w:bookmarkStart w:id="32" w:name="_Toc30100"/>
      <w:bookmarkStart w:id="33" w:name="_Toc15124"/>
      <w:bookmarkStart w:id="34" w:name="_Toc29194"/>
      <w:bookmarkStart w:id="35" w:name="_Toc17047"/>
      <w:r w:rsidRPr="00E53BDD">
        <w:rPr>
          <w:rFonts w:ascii="仿宋" w:eastAsia="仿宋_GB2312" w:hAnsi="仿宋" w:hint="eastAsia"/>
          <w:b/>
          <w:sz w:val="32"/>
          <w:szCs w:val="32"/>
        </w:rPr>
        <w:t>1.</w:t>
      </w:r>
      <w:r w:rsidRPr="00E53BDD">
        <w:rPr>
          <w:rFonts w:ascii="仿宋" w:eastAsia="仿宋_GB2312" w:hAnsi="仿宋" w:hint="eastAsia"/>
          <w:b/>
          <w:sz w:val="32"/>
          <w:szCs w:val="32"/>
        </w:rPr>
        <w:t>示范创建卓有成效</w:t>
      </w:r>
      <w:bookmarkEnd w:id="27"/>
      <w:bookmarkEnd w:id="28"/>
      <w:bookmarkEnd w:id="29"/>
      <w:bookmarkEnd w:id="30"/>
      <w:bookmarkEnd w:id="31"/>
      <w:bookmarkEnd w:id="32"/>
      <w:bookmarkEnd w:id="33"/>
      <w:bookmarkEnd w:id="34"/>
      <w:bookmarkEnd w:id="35"/>
    </w:p>
    <w:p w:rsidR="00833E93" w:rsidRDefault="00E53BDD">
      <w:pPr>
        <w:adjustRightInd w:val="0"/>
        <w:spacing w:line="560" w:lineRule="exact"/>
        <w:ind w:firstLine="640"/>
      </w:pPr>
      <w:bookmarkStart w:id="36" w:name="_Toc18120"/>
      <w:r w:rsidRPr="00E53BDD">
        <w:rPr>
          <w:rFonts w:ascii="仿宋" w:eastAsia="仿宋_GB2312" w:hAnsi="仿宋" w:hint="eastAsia"/>
          <w:sz w:val="32"/>
          <w:szCs w:val="32"/>
        </w:rPr>
        <w:t>“十三五”时期，太仓市获</w:t>
      </w:r>
      <w:proofErr w:type="gramStart"/>
      <w:r w:rsidRPr="00E53BDD">
        <w:rPr>
          <w:rFonts w:ascii="仿宋" w:eastAsia="仿宋_GB2312" w:hAnsi="仿宋" w:hint="eastAsia"/>
          <w:sz w:val="32"/>
          <w:szCs w:val="32"/>
        </w:rPr>
        <w:t>批国家</w:t>
      </w:r>
      <w:proofErr w:type="gramEnd"/>
      <w:r w:rsidRPr="00E53BDD">
        <w:rPr>
          <w:rFonts w:ascii="仿宋" w:eastAsia="仿宋_GB2312" w:hAnsi="仿宋" w:hint="eastAsia"/>
          <w:sz w:val="32"/>
          <w:szCs w:val="32"/>
        </w:rPr>
        <w:t>知识产权强县工程示范县，荣获中国县域知识产权竞争力排行榜第六名。太仓高新技术产业开发区获评江苏省知识产权试点园区，获批江苏省知识产权示范园区，太仓港经济技术开发区获评江苏省知识产权示范园区。</w:t>
      </w:r>
    </w:p>
    <w:p w:rsidR="00833E93" w:rsidRPr="00E53BDD" w:rsidRDefault="00E53BDD">
      <w:pPr>
        <w:adjustRightInd w:val="0"/>
        <w:spacing w:line="560" w:lineRule="exact"/>
        <w:ind w:firstLine="643"/>
        <w:outlineLvl w:val="2"/>
        <w:rPr>
          <w:rFonts w:ascii="仿宋" w:eastAsia="仿宋_GB2312" w:hAnsi="仿宋"/>
          <w:b/>
          <w:sz w:val="32"/>
          <w:szCs w:val="32"/>
        </w:rPr>
      </w:pPr>
      <w:bookmarkStart w:id="37" w:name="_Toc31556"/>
      <w:bookmarkStart w:id="38" w:name="_Toc25498"/>
      <w:bookmarkStart w:id="39" w:name="_Toc16599"/>
      <w:bookmarkStart w:id="40" w:name="_Toc27907"/>
      <w:bookmarkStart w:id="41" w:name="_Toc19102"/>
      <w:bookmarkStart w:id="42" w:name="_Toc3224"/>
      <w:bookmarkStart w:id="43" w:name="_Toc9246"/>
      <w:bookmarkStart w:id="44" w:name="_Toc7187"/>
      <w:r w:rsidRPr="00E53BDD">
        <w:rPr>
          <w:rFonts w:ascii="仿宋" w:eastAsia="仿宋_GB2312" w:hAnsi="仿宋" w:hint="eastAsia"/>
          <w:b/>
          <w:sz w:val="32"/>
          <w:szCs w:val="32"/>
        </w:rPr>
        <w:t>2.</w:t>
      </w:r>
      <w:r w:rsidRPr="00E53BDD">
        <w:rPr>
          <w:rFonts w:ascii="仿宋" w:eastAsia="仿宋_GB2312" w:hAnsi="仿宋" w:hint="eastAsia"/>
          <w:b/>
          <w:sz w:val="32"/>
          <w:szCs w:val="32"/>
        </w:rPr>
        <w:t>创造活力显著增强</w:t>
      </w:r>
      <w:bookmarkEnd w:id="36"/>
      <w:bookmarkEnd w:id="37"/>
      <w:bookmarkEnd w:id="38"/>
      <w:bookmarkEnd w:id="39"/>
      <w:bookmarkEnd w:id="40"/>
      <w:bookmarkEnd w:id="41"/>
      <w:bookmarkEnd w:id="42"/>
      <w:bookmarkEnd w:id="43"/>
      <w:bookmarkEnd w:id="44"/>
    </w:p>
    <w:p w:rsidR="00833E93" w:rsidRPr="00E53BDD" w:rsidRDefault="00E53BDD">
      <w:pPr>
        <w:adjustRightInd w:val="0"/>
        <w:spacing w:line="560" w:lineRule="exact"/>
        <w:ind w:firstLine="640"/>
        <w:rPr>
          <w:rFonts w:ascii="仿宋" w:eastAsia="仿宋_GB2312" w:hAnsi="仿宋"/>
          <w:sz w:val="32"/>
          <w:szCs w:val="32"/>
        </w:rPr>
      </w:pPr>
      <w:r w:rsidRPr="00E53BDD">
        <w:rPr>
          <w:rFonts w:ascii="仿宋" w:eastAsia="仿宋_GB2312" w:hAnsi="仿宋" w:hint="eastAsia"/>
          <w:sz w:val="32"/>
          <w:szCs w:val="32"/>
        </w:rPr>
        <w:t>“十三五”时期，太仓市知识产权创造相比“十二五”增势明显：太仓市新增专利申请</w:t>
      </w:r>
      <w:r w:rsidRPr="00E53BDD">
        <w:rPr>
          <w:rFonts w:ascii="仿宋" w:eastAsia="仿宋_GB2312" w:hAnsi="仿宋" w:hint="eastAsia"/>
          <w:sz w:val="32"/>
          <w:szCs w:val="32"/>
        </w:rPr>
        <w:t>48060</w:t>
      </w:r>
      <w:r w:rsidRPr="00E53BDD">
        <w:rPr>
          <w:rFonts w:ascii="仿宋" w:eastAsia="仿宋_GB2312" w:hAnsi="仿宋" w:hint="eastAsia"/>
          <w:sz w:val="32"/>
          <w:szCs w:val="32"/>
        </w:rPr>
        <w:t>件，增长率为</w:t>
      </w:r>
      <w:r w:rsidRPr="00E53BDD">
        <w:rPr>
          <w:rFonts w:ascii="仿宋" w:eastAsia="仿宋_GB2312" w:hAnsi="仿宋" w:hint="eastAsia"/>
          <w:sz w:val="32"/>
          <w:szCs w:val="32"/>
        </w:rPr>
        <w:t>42.64%</w:t>
      </w:r>
      <w:r w:rsidRPr="00E53BDD">
        <w:rPr>
          <w:rFonts w:ascii="仿宋" w:eastAsia="仿宋_GB2312" w:hAnsi="仿宋" w:hint="eastAsia"/>
          <w:sz w:val="32"/>
          <w:szCs w:val="32"/>
        </w:rPr>
        <w:t>；新增发明专利申请</w:t>
      </w:r>
      <w:r w:rsidRPr="00E53BDD">
        <w:rPr>
          <w:rFonts w:ascii="仿宋" w:eastAsia="仿宋_GB2312" w:hAnsi="仿宋" w:hint="eastAsia"/>
          <w:sz w:val="32"/>
          <w:szCs w:val="32"/>
        </w:rPr>
        <w:t>20582</w:t>
      </w:r>
      <w:r w:rsidRPr="00E53BDD">
        <w:rPr>
          <w:rFonts w:ascii="仿宋" w:eastAsia="仿宋_GB2312" w:hAnsi="仿宋" w:hint="eastAsia"/>
          <w:sz w:val="32"/>
          <w:szCs w:val="32"/>
        </w:rPr>
        <w:t>件，增长率为</w:t>
      </w:r>
      <w:r w:rsidRPr="00E53BDD">
        <w:rPr>
          <w:rFonts w:ascii="仿宋" w:eastAsia="仿宋_GB2312" w:hAnsi="仿宋" w:hint="eastAsia"/>
          <w:sz w:val="32"/>
          <w:szCs w:val="32"/>
        </w:rPr>
        <w:t>69.37%</w:t>
      </w:r>
      <w:r w:rsidRPr="00E53BDD">
        <w:rPr>
          <w:rFonts w:ascii="仿宋" w:eastAsia="仿宋_GB2312" w:hAnsi="仿宋" w:hint="eastAsia"/>
          <w:sz w:val="32"/>
          <w:szCs w:val="32"/>
        </w:rPr>
        <w:t>；新增</w:t>
      </w:r>
      <w:r w:rsidRPr="00E53BDD">
        <w:rPr>
          <w:rFonts w:ascii="仿宋" w:eastAsia="仿宋_GB2312" w:hAnsi="仿宋" w:hint="eastAsia"/>
          <w:sz w:val="32"/>
          <w:szCs w:val="32"/>
        </w:rPr>
        <w:t>PCT</w:t>
      </w:r>
      <w:r w:rsidRPr="00E53BDD">
        <w:rPr>
          <w:rFonts w:ascii="仿宋" w:eastAsia="仿宋_GB2312" w:hAnsi="仿宋" w:hint="eastAsia"/>
          <w:sz w:val="32"/>
          <w:szCs w:val="32"/>
        </w:rPr>
        <w:t>专利申请量</w:t>
      </w:r>
      <w:r w:rsidRPr="00E53BDD">
        <w:rPr>
          <w:rFonts w:ascii="仿宋" w:eastAsia="仿宋_GB2312" w:hAnsi="仿宋" w:hint="eastAsia"/>
          <w:sz w:val="32"/>
          <w:szCs w:val="32"/>
        </w:rPr>
        <w:t>795</w:t>
      </w:r>
      <w:r w:rsidRPr="00E53BDD">
        <w:rPr>
          <w:rFonts w:ascii="仿宋" w:eastAsia="仿宋_GB2312" w:hAnsi="仿宋" w:hint="eastAsia"/>
          <w:sz w:val="32"/>
          <w:szCs w:val="32"/>
        </w:rPr>
        <w:t>件，增长率为</w:t>
      </w:r>
      <w:r w:rsidRPr="00E53BDD">
        <w:rPr>
          <w:rFonts w:ascii="仿宋" w:eastAsia="仿宋_GB2312" w:hAnsi="仿宋" w:hint="eastAsia"/>
          <w:sz w:val="32"/>
          <w:szCs w:val="32"/>
        </w:rPr>
        <w:t>336.21%</w:t>
      </w:r>
      <w:r w:rsidRPr="00E53BDD">
        <w:rPr>
          <w:rFonts w:ascii="仿宋" w:eastAsia="仿宋_GB2312" w:hAnsi="仿宋" w:hint="eastAsia"/>
          <w:sz w:val="32"/>
          <w:szCs w:val="32"/>
        </w:rPr>
        <w:t>；新增专利授权</w:t>
      </w:r>
      <w:r w:rsidRPr="00E53BDD">
        <w:rPr>
          <w:rFonts w:ascii="仿宋" w:eastAsia="仿宋_GB2312" w:hAnsi="仿宋" w:hint="eastAsia"/>
          <w:sz w:val="32"/>
          <w:szCs w:val="32"/>
        </w:rPr>
        <w:t>22669</w:t>
      </w:r>
      <w:r w:rsidRPr="00E53BDD">
        <w:rPr>
          <w:rFonts w:ascii="仿宋" w:eastAsia="仿宋_GB2312" w:hAnsi="仿宋" w:hint="eastAsia"/>
          <w:sz w:val="32"/>
          <w:szCs w:val="32"/>
        </w:rPr>
        <w:t>件，发明专利授权</w:t>
      </w:r>
      <w:r w:rsidRPr="00E53BDD">
        <w:rPr>
          <w:rFonts w:ascii="仿宋" w:eastAsia="仿宋_GB2312" w:hAnsi="仿宋" w:hint="eastAsia"/>
          <w:sz w:val="32"/>
          <w:szCs w:val="32"/>
        </w:rPr>
        <w:t>3406</w:t>
      </w:r>
      <w:r w:rsidRPr="00E53BDD">
        <w:rPr>
          <w:rFonts w:ascii="仿宋" w:eastAsia="仿宋_GB2312" w:hAnsi="仿宋" w:hint="eastAsia"/>
          <w:sz w:val="32"/>
          <w:szCs w:val="32"/>
        </w:rPr>
        <w:t>件；万人发明专利拥有量达</w:t>
      </w:r>
      <w:r w:rsidRPr="00E53BDD">
        <w:rPr>
          <w:rFonts w:ascii="仿宋" w:eastAsia="仿宋_GB2312" w:hAnsi="仿宋" w:hint="eastAsia"/>
          <w:sz w:val="32"/>
          <w:szCs w:val="32"/>
        </w:rPr>
        <w:t>65.61</w:t>
      </w:r>
      <w:r w:rsidRPr="00E53BDD">
        <w:rPr>
          <w:rFonts w:ascii="仿宋" w:eastAsia="仿宋_GB2312" w:hAnsi="仿宋" w:hint="eastAsia"/>
          <w:sz w:val="32"/>
          <w:szCs w:val="32"/>
        </w:rPr>
        <w:t>件（根据</w:t>
      </w:r>
      <w:r w:rsidRPr="00E53BDD">
        <w:rPr>
          <w:rFonts w:ascii="仿宋" w:eastAsia="仿宋_GB2312" w:hAnsi="仿宋" w:hint="eastAsia"/>
          <w:sz w:val="32"/>
          <w:szCs w:val="32"/>
        </w:rPr>
        <w:t>2020</w:t>
      </w:r>
      <w:r w:rsidRPr="00E53BDD">
        <w:rPr>
          <w:rFonts w:ascii="仿宋" w:eastAsia="仿宋_GB2312" w:hAnsi="仿宋" w:hint="eastAsia"/>
          <w:sz w:val="32"/>
          <w:szCs w:val="32"/>
        </w:rPr>
        <w:t>年太仓常住人口</w:t>
      </w:r>
      <w:r w:rsidRPr="00E53BDD">
        <w:rPr>
          <w:rFonts w:ascii="仿宋" w:eastAsia="仿宋_GB2312" w:hAnsi="仿宋" w:hint="eastAsia"/>
          <w:sz w:val="32"/>
          <w:szCs w:val="32"/>
        </w:rPr>
        <w:t>83.12</w:t>
      </w:r>
      <w:r w:rsidRPr="00E53BDD">
        <w:rPr>
          <w:rFonts w:ascii="仿宋" w:eastAsia="仿宋_GB2312" w:hAnsi="仿宋" w:hint="eastAsia"/>
          <w:sz w:val="32"/>
          <w:szCs w:val="32"/>
        </w:rPr>
        <w:t>万计算得出），增长率</w:t>
      </w:r>
      <w:r w:rsidRPr="00E53BDD">
        <w:rPr>
          <w:rFonts w:ascii="仿宋" w:eastAsia="仿宋_GB2312" w:hAnsi="仿宋" w:hint="eastAsia"/>
          <w:sz w:val="32"/>
          <w:szCs w:val="32"/>
        </w:rPr>
        <w:t>147.31%</w:t>
      </w:r>
      <w:r w:rsidRPr="00E53BDD">
        <w:rPr>
          <w:rFonts w:ascii="仿宋" w:eastAsia="仿宋_GB2312" w:hAnsi="仿宋" w:hint="eastAsia"/>
          <w:sz w:val="32"/>
          <w:szCs w:val="32"/>
        </w:rPr>
        <w:t>；新增商标申请</w:t>
      </w:r>
      <w:r w:rsidRPr="00E53BDD">
        <w:rPr>
          <w:rFonts w:ascii="仿宋" w:eastAsia="仿宋_GB2312" w:hAnsi="仿宋" w:hint="eastAsia"/>
          <w:sz w:val="32"/>
          <w:szCs w:val="32"/>
        </w:rPr>
        <w:t>15643</w:t>
      </w:r>
      <w:r w:rsidRPr="00E53BDD">
        <w:rPr>
          <w:rFonts w:ascii="仿宋" w:eastAsia="仿宋_GB2312" w:hAnsi="仿宋" w:hint="eastAsia"/>
          <w:sz w:val="32"/>
          <w:szCs w:val="32"/>
        </w:rPr>
        <w:t>件，商标注册</w:t>
      </w:r>
      <w:r w:rsidRPr="00E53BDD">
        <w:rPr>
          <w:rFonts w:ascii="仿宋" w:eastAsia="仿宋_GB2312" w:hAnsi="仿宋" w:hint="eastAsia"/>
          <w:sz w:val="32"/>
          <w:szCs w:val="32"/>
        </w:rPr>
        <w:t>10419</w:t>
      </w:r>
      <w:r w:rsidRPr="00E53BDD">
        <w:rPr>
          <w:rFonts w:ascii="仿宋" w:eastAsia="仿宋_GB2312" w:hAnsi="仿宋" w:hint="eastAsia"/>
          <w:sz w:val="32"/>
          <w:szCs w:val="32"/>
        </w:rPr>
        <w:t>件，马德里国际商标注册累计</w:t>
      </w:r>
      <w:r w:rsidRPr="00E53BDD">
        <w:rPr>
          <w:rFonts w:ascii="仿宋" w:eastAsia="仿宋_GB2312" w:hAnsi="仿宋" w:hint="eastAsia"/>
          <w:sz w:val="32"/>
          <w:szCs w:val="32"/>
        </w:rPr>
        <w:t>99</w:t>
      </w:r>
      <w:r w:rsidRPr="00E53BDD">
        <w:rPr>
          <w:rFonts w:ascii="仿宋" w:eastAsia="仿宋_GB2312" w:hAnsi="仿宋" w:hint="eastAsia"/>
          <w:sz w:val="32"/>
          <w:szCs w:val="32"/>
        </w:rPr>
        <w:t>件；新增一般作品登记量</w:t>
      </w:r>
      <w:r w:rsidRPr="00E53BDD">
        <w:rPr>
          <w:rFonts w:ascii="仿宋" w:eastAsia="仿宋_GB2312" w:hAnsi="仿宋" w:hint="eastAsia"/>
          <w:sz w:val="32"/>
          <w:szCs w:val="32"/>
        </w:rPr>
        <w:t>4199</w:t>
      </w:r>
      <w:r w:rsidRPr="00E53BDD">
        <w:rPr>
          <w:rFonts w:ascii="仿宋" w:eastAsia="仿宋_GB2312" w:hAnsi="仿宋" w:hint="eastAsia"/>
          <w:sz w:val="32"/>
          <w:szCs w:val="32"/>
        </w:rPr>
        <w:t>件，软件著作权登记</w:t>
      </w:r>
      <w:r w:rsidRPr="00E53BDD">
        <w:rPr>
          <w:rFonts w:ascii="仿宋" w:eastAsia="仿宋_GB2312" w:hAnsi="仿宋" w:hint="eastAsia"/>
          <w:sz w:val="32"/>
          <w:szCs w:val="32"/>
        </w:rPr>
        <w:t>4091</w:t>
      </w:r>
      <w:r w:rsidRPr="00E53BDD">
        <w:rPr>
          <w:rFonts w:ascii="仿宋" w:eastAsia="仿宋_GB2312" w:hAnsi="仿宋" w:hint="eastAsia"/>
          <w:sz w:val="32"/>
          <w:szCs w:val="32"/>
        </w:rPr>
        <w:t>件，版权登记总量达</w:t>
      </w:r>
      <w:r w:rsidRPr="00E53BDD">
        <w:rPr>
          <w:rFonts w:ascii="仿宋" w:eastAsia="仿宋_GB2312" w:hAnsi="仿宋" w:hint="eastAsia"/>
          <w:sz w:val="32"/>
          <w:szCs w:val="32"/>
        </w:rPr>
        <w:t>8290</w:t>
      </w:r>
      <w:r w:rsidRPr="00E53BDD">
        <w:rPr>
          <w:rFonts w:ascii="仿宋" w:eastAsia="仿宋_GB2312" w:hAnsi="仿宋" w:hint="eastAsia"/>
          <w:sz w:val="32"/>
          <w:szCs w:val="32"/>
        </w:rPr>
        <w:t>件；新增国家农产品地理标志产品</w:t>
      </w:r>
      <w:r w:rsidRPr="00E53BDD">
        <w:rPr>
          <w:rFonts w:ascii="仿宋" w:eastAsia="仿宋_GB2312" w:hAnsi="仿宋" w:hint="eastAsia"/>
          <w:sz w:val="32"/>
          <w:szCs w:val="32"/>
        </w:rPr>
        <w:t>1</w:t>
      </w:r>
      <w:r w:rsidRPr="00E53BDD">
        <w:rPr>
          <w:rFonts w:ascii="仿宋" w:eastAsia="仿宋_GB2312" w:hAnsi="仿宋" w:hint="eastAsia"/>
          <w:sz w:val="32"/>
          <w:szCs w:val="32"/>
        </w:rPr>
        <w:t>件。截至</w:t>
      </w:r>
      <w:r w:rsidRPr="00E53BDD">
        <w:rPr>
          <w:rFonts w:ascii="仿宋" w:eastAsia="仿宋_GB2312" w:hAnsi="仿宋" w:hint="eastAsia"/>
          <w:sz w:val="32"/>
          <w:szCs w:val="32"/>
        </w:rPr>
        <w:t>2020</w:t>
      </w:r>
      <w:r w:rsidRPr="00E53BDD">
        <w:rPr>
          <w:rFonts w:ascii="仿宋" w:eastAsia="仿宋_GB2312" w:hAnsi="仿宋" w:hint="eastAsia"/>
          <w:sz w:val="32"/>
          <w:szCs w:val="32"/>
        </w:rPr>
        <w:t>年底，太仓市累计获评中国专利优秀奖</w:t>
      </w:r>
      <w:r w:rsidRPr="00E53BDD">
        <w:rPr>
          <w:rFonts w:ascii="仿宋" w:eastAsia="仿宋_GB2312" w:hAnsi="仿宋" w:hint="eastAsia"/>
          <w:sz w:val="32"/>
          <w:szCs w:val="32"/>
        </w:rPr>
        <w:t>4</w:t>
      </w:r>
      <w:r w:rsidRPr="00E53BDD">
        <w:rPr>
          <w:rFonts w:ascii="仿宋" w:eastAsia="仿宋_GB2312" w:hAnsi="仿宋" w:hint="eastAsia"/>
          <w:sz w:val="32"/>
          <w:szCs w:val="32"/>
        </w:rPr>
        <w:t>件，共有</w:t>
      </w:r>
      <w:r w:rsidRPr="00E53BDD">
        <w:rPr>
          <w:rFonts w:ascii="仿宋" w:eastAsia="仿宋_GB2312" w:hAnsi="仿宋" w:hint="eastAsia"/>
          <w:sz w:val="32"/>
          <w:szCs w:val="32"/>
        </w:rPr>
        <w:t>21</w:t>
      </w:r>
      <w:r w:rsidRPr="00E53BDD">
        <w:rPr>
          <w:rFonts w:ascii="仿宋" w:eastAsia="仿宋_GB2312" w:hAnsi="仿宋" w:hint="eastAsia"/>
          <w:sz w:val="32"/>
          <w:szCs w:val="32"/>
        </w:rPr>
        <w:t>项发明专利荣获省、苏州市级以上专利奖。</w:t>
      </w:r>
    </w:p>
    <w:p w:rsidR="00833E93" w:rsidRPr="00E53BDD" w:rsidRDefault="00E53BDD">
      <w:pPr>
        <w:adjustRightInd w:val="0"/>
        <w:spacing w:line="560" w:lineRule="exact"/>
        <w:ind w:firstLine="643"/>
        <w:outlineLvl w:val="2"/>
        <w:rPr>
          <w:rFonts w:ascii="仿宋" w:eastAsia="仿宋_GB2312" w:hAnsi="仿宋"/>
          <w:b/>
          <w:sz w:val="32"/>
          <w:szCs w:val="32"/>
        </w:rPr>
      </w:pPr>
      <w:bookmarkStart w:id="45" w:name="_Toc9756"/>
      <w:bookmarkStart w:id="46" w:name="_Toc29993"/>
      <w:bookmarkStart w:id="47" w:name="_Toc10374"/>
      <w:bookmarkStart w:id="48" w:name="_Toc21766"/>
      <w:bookmarkStart w:id="49" w:name="_Toc25380"/>
      <w:bookmarkStart w:id="50" w:name="_Toc7366"/>
      <w:bookmarkStart w:id="51" w:name="_Toc5759"/>
      <w:bookmarkStart w:id="52" w:name="_Toc5066"/>
      <w:bookmarkStart w:id="53" w:name="_Toc32022"/>
      <w:r w:rsidRPr="00E53BDD">
        <w:rPr>
          <w:rFonts w:ascii="仿宋" w:eastAsia="仿宋_GB2312" w:hAnsi="仿宋" w:hint="eastAsia"/>
          <w:b/>
          <w:sz w:val="32"/>
          <w:szCs w:val="32"/>
        </w:rPr>
        <w:t>3.</w:t>
      </w:r>
      <w:r w:rsidRPr="00E53BDD">
        <w:rPr>
          <w:rFonts w:ascii="仿宋" w:eastAsia="仿宋_GB2312" w:hAnsi="仿宋" w:hint="eastAsia"/>
          <w:b/>
          <w:sz w:val="32"/>
          <w:szCs w:val="32"/>
        </w:rPr>
        <w:t>运用效益明显提高</w:t>
      </w:r>
      <w:bookmarkEnd w:id="45"/>
      <w:bookmarkEnd w:id="46"/>
      <w:bookmarkEnd w:id="47"/>
      <w:bookmarkEnd w:id="48"/>
      <w:bookmarkEnd w:id="49"/>
      <w:bookmarkEnd w:id="50"/>
      <w:bookmarkEnd w:id="51"/>
      <w:bookmarkEnd w:id="52"/>
      <w:bookmarkEnd w:id="53"/>
    </w:p>
    <w:p w:rsidR="00833E93" w:rsidRPr="00E53BDD" w:rsidRDefault="00E53BDD">
      <w:pPr>
        <w:adjustRightInd w:val="0"/>
        <w:spacing w:line="560" w:lineRule="exact"/>
        <w:ind w:firstLine="640"/>
        <w:rPr>
          <w:rFonts w:ascii="仿宋" w:eastAsia="仿宋_GB2312" w:hAnsi="仿宋"/>
          <w:sz w:val="32"/>
          <w:szCs w:val="32"/>
        </w:rPr>
      </w:pPr>
      <w:bookmarkStart w:id="54" w:name="_Toc28929"/>
      <w:bookmarkStart w:id="55" w:name="_Toc28133"/>
      <w:bookmarkStart w:id="56" w:name="_Toc13093"/>
      <w:bookmarkStart w:id="57" w:name="_Toc14540"/>
      <w:bookmarkStart w:id="58" w:name="_Toc25405"/>
      <w:bookmarkStart w:id="59" w:name="_Toc28674"/>
      <w:bookmarkStart w:id="60" w:name="_Toc32456"/>
      <w:bookmarkStart w:id="61" w:name="_Toc16956"/>
      <w:bookmarkStart w:id="62" w:name="_Toc13011"/>
      <w:bookmarkStart w:id="63" w:name="_Toc12996"/>
      <w:r w:rsidRPr="00E53BDD">
        <w:rPr>
          <w:rFonts w:ascii="仿宋" w:eastAsia="仿宋_GB2312" w:hAnsi="仿宋" w:hint="eastAsia"/>
          <w:sz w:val="32"/>
          <w:szCs w:val="32"/>
        </w:rPr>
        <w:t>“十三五”期间，企业知识产权综合运用能力大幅度提升，发挥企业知识产权主体地位</w:t>
      </w:r>
      <w:r w:rsidRPr="00E53BDD">
        <w:rPr>
          <w:rFonts w:ascii="仿宋" w:eastAsia="仿宋_GB2312" w:hAnsi="仿宋" w:hint="eastAsia"/>
          <w:sz w:val="32"/>
          <w:szCs w:val="32"/>
        </w:rPr>
        <w:t>,123</w:t>
      </w:r>
      <w:r w:rsidRPr="00E53BDD">
        <w:rPr>
          <w:rFonts w:ascii="仿宋" w:eastAsia="仿宋_GB2312" w:hAnsi="仿宋" w:hint="eastAsia"/>
          <w:sz w:val="32"/>
          <w:szCs w:val="32"/>
        </w:rPr>
        <w:t>家企业通过知识产权管理体系认证；新增国家知识产权优势企业</w:t>
      </w:r>
      <w:r w:rsidRPr="00E53BDD">
        <w:rPr>
          <w:rFonts w:ascii="仿宋" w:eastAsia="仿宋_GB2312" w:hAnsi="仿宋" w:hint="eastAsia"/>
          <w:sz w:val="32"/>
          <w:szCs w:val="32"/>
        </w:rPr>
        <w:t>21</w:t>
      </w:r>
      <w:r w:rsidRPr="00E53BDD">
        <w:rPr>
          <w:rFonts w:ascii="仿宋" w:eastAsia="仿宋_GB2312" w:hAnsi="仿宋" w:hint="eastAsia"/>
          <w:sz w:val="32"/>
          <w:szCs w:val="32"/>
        </w:rPr>
        <w:t>家；</w:t>
      </w:r>
      <w:r w:rsidRPr="00E53BDD">
        <w:rPr>
          <w:rFonts w:ascii="仿宋" w:eastAsia="仿宋_GB2312" w:hAnsi="仿宋" w:hint="eastAsia"/>
          <w:sz w:val="32"/>
          <w:szCs w:val="32"/>
        </w:rPr>
        <w:t>129</w:t>
      </w:r>
      <w:r w:rsidRPr="00E53BDD">
        <w:rPr>
          <w:rFonts w:ascii="仿宋" w:eastAsia="仿宋_GB2312" w:hAnsi="仿宋" w:hint="eastAsia"/>
          <w:sz w:val="32"/>
          <w:szCs w:val="32"/>
        </w:rPr>
        <w:t>家企业通过知识产权贯标认证，新增知识产权密集型企业</w:t>
      </w:r>
      <w:r w:rsidRPr="00E53BDD">
        <w:rPr>
          <w:rFonts w:ascii="仿宋" w:eastAsia="仿宋_GB2312" w:hAnsi="仿宋" w:hint="eastAsia"/>
          <w:sz w:val="32"/>
          <w:szCs w:val="32"/>
        </w:rPr>
        <w:t>10</w:t>
      </w:r>
      <w:r w:rsidRPr="00E53BDD">
        <w:rPr>
          <w:rFonts w:ascii="仿宋" w:eastAsia="仿宋_GB2312" w:hAnsi="仿宋" w:hint="eastAsia"/>
          <w:sz w:val="32"/>
          <w:szCs w:val="32"/>
        </w:rPr>
        <w:t>家；知识产权质押融资登记金额达</w:t>
      </w:r>
      <w:r w:rsidRPr="00E53BDD">
        <w:rPr>
          <w:rFonts w:ascii="仿宋" w:eastAsia="仿宋_GB2312" w:hAnsi="仿宋" w:hint="eastAsia"/>
          <w:sz w:val="32"/>
          <w:szCs w:val="32"/>
        </w:rPr>
        <w:t>9.48</w:t>
      </w:r>
      <w:r w:rsidRPr="00E53BDD">
        <w:rPr>
          <w:rFonts w:ascii="仿宋" w:eastAsia="仿宋_GB2312" w:hAnsi="仿宋" w:hint="eastAsia"/>
          <w:sz w:val="32"/>
          <w:szCs w:val="32"/>
        </w:rPr>
        <w:t>亿元。知识产权有效支撑引领创新驱动发展战略。</w:t>
      </w:r>
      <w:bookmarkEnd w:id="54"/>
      <w:bookmarkEnd w:id="55"/>
      <w:bookmarkEnd w:id="56"/>
      <w:bookmarkEnd w:id="57"/>
      <w:bookmarkEnd w:id="58"/>
      <w:bookmarkEnd w:id="59"/>
      <w:bookmarkEnd w:id="60"/>
      <w:bookmarkEnd w:id="61"/>
      <w:bookmarkEnd w:id="62"/>
      <w:bookmarkEnd w:id="63"/>
    </w:p>
    <w:p w:rsidR="00833E93" w:rsidRPr="00E53BDD" w:rsidRDefault="00E53BDD">
      <w:pPr>
        <w:adjustRightInd w:val="0"/>
        <w:spacing w:line="560" w:lineRule="exact"/>
        <w:ind w:firstLine="643"/>
        <w:outlineLvl w:val="2"/>
        <w:rPr>
          <w:rFonts w:ascii="仿宋" w:eastAsia="仿宋_GB2312" w:hAnsi="仿宋"/>
          <w:b/>
          <w:sz w:val="32"/>
          <w:szCs w:val="32"/>
        </w:rPr>
      </w:pPr>
      <w:bookmarkStart w:id="64" w:name="_Toc13285"/>
      <w:bookmarkStart w:id="65" w:name="_Toc21636"/>
      <w:bookmarkStart w:id="66" w:name="_Toc15971"/>
      <w:bookmarkStart w:id="67" w:name="_Toc16581"/>
      <w:bookmarkStart w:id="68" w:name="_Toc18640"/>
      <w:bookmarkStart w:id="69" w:name="_Toc30668"/>
      <w:bookmarkStart w:id="70" w:name="_Toc24244"/>
      <w:bookmarkStart w:id="71" w:name="_Toc18880"/>
      <w:bookmarkStart w:id="72" w:name="_Toc6748"/>
      <w:r w:rsidRPr="00E53BDD">
        <w:rPr>
          <w:rFonts w:ascii="仿宋" w:eastAsia="仿宋_GB2312" w:hAnsi="仿宋" w:hint="eastAsia"/>
          <w:b/>
          <w:sz w:val="32"/>
          <w:szCs w:val="32"/>
        </w:rPr>
        <w:t>4.</w:t>
      </w:r>
      <w:r w:rsidRPr="00E53BDD">
        <w:rPr>
          <w:rFonts w:ascii="仿宋" w:eastAsia="仿宋_GB2312" w:hAnsi="仿宋" w:hint="eastAsia"/>
          <w:b/>
          <w:sz w:val="32"/>
          <w:szCs w:val="32"/>
        </w:rPr>
        <w:t>保护成效逐渐显现</w:t>
      </w:r>
      <w:bookmarkEnd w:id="64"/>
      <w:bookmarkEnd w:id="65"/>
      <w:bookmarkEnd w:id="66"/>
      <w:bookmarkEnd w:id="67"/>
      <w:bookmarkEnd w:id="68"/>
      <w:bookmarkEnd w:id="69"/>
      <w:bookmarkEnd w:id="70"/>
      <w:bookmarkEnd w:id="71"/>
      <w:bookmarkEnd w:id="72"/>
    </w:p>
    <w:p w:rsidR="00833E93" w:rsidRPr="00E53BDD" w:rsidRDefault="00E53BDD">
      <w:pPr>
        <w:adjustRightInd w:val="0"/>
        <w:spacing w:line="560" w:lineRule="exact"/>
        <w:ind w:firstLine="640"/>
        <w:rPr>
          <w:rFonts w:ascii="仿宋" w:eastAsia="仿宋_GB2312" w:hAnsi="仿宋"/>
          <w:sz w:val="32"/>
          <w:szCs w:val="32"/>
        </w:rPr>
      </w:pPr>
      <w:r w:rsidRPr="00E53BDD">
        <w:rPr>
          <w:rFonts w:ascii="仿宋" w:eastAsia="仿宋_GB2312" w:hAnsi="仿宋" w:hint="eastAsia"/>
          <w:sz w:val="32"/>
          <w:szCs w:val="32"/>
        </w:rPr>
        <w:t>建设“严大快同”知识产权保护体系，市市场监管局（知识产权局）、市委宣传部、市法院、市检察院、市公安局、市司法局、太仓海关等多部门共建联动保护机制，形成行政执法、司法衔接、维权援助联动的知识产权保护新体系。全国首家法院派驻市场监管部门巡回审判点在太仓设立，市市场监管局成为全国首家实现公检法派驻机构全覆盖的市场监管部门，通过完善行政执法与司法保护两条途径的优势互补和有机衔接，健全行政与司法联动保护知识产权长效机制。“十三五”期间，知识产权行政管理部门累计处理各类知识产权违法案件</w:t>
      </w:r>
      <w:r w:rsidRPr="00E53BDD">
        <w:rPr>
          <w:rFonts w:ascii="仿宋" w:eastAsia="仿宋_GB2312" w:hAnsi="仿宋" w:hint="eastAsia"/>
          <w:sz w:val="32"/>
          <w:szCs w:val="32"/>
        </w:rPr>
        <w:t>37</w:t>
      </w:r>
      <w:r w:rsidRPr="00E53BDD">
        <w:rPr>
          <w:rFonts w:ascii="仿宋" w:eastAsia="仿宋_GB2312" w:hAnsi="仿宋" w:hint="eastAsia"/>
          <w:sz w:val="32"/>
          <w:szCs w:val="32"/>
        </w:rPr>
        <w:t>件，知识产权行政执法案件办结率</w:t>
      </w:r>
      <w:r w:rsidRPr="00E53BDD">
        <w:rPr>
          <w:rFonts w:ascii="仿宋" w:eastAsia="仿宋_GB2312" w:hAnsi="仿宋" w:hint="eastAsia"/>
          <w:sz w:val="32"/>
          <w:szCs w:val="32"/>
        </w:rPr>
        <w:t>100%</w:t>
      </w:r>
      <w:r w:rsidRPr="00E53BDD">
        <w:rPr>
          <w:rFonts w:ascii="仿宋" w:eastAsia="仿宋_GB2312" w:hAnsi="仿宋" w:hint="eastAsia"/>
          <w:sz w:val="32"/>
          <w:szCs w:val="32"/>
        </w:rPr>
        <w:t>；公安机关立案侦办侵犯知识产权案件</w:t>
      </w:r>
      <w:r w:rsidRPr="00E53BDD">
        <w:rPr>
          <w:rFonts w:ascii="仿宋" w:eastAsia="仿宋_GB2312" w:hAnsi="仿宋" w:hint="eastAsia"/>
          <w:sz w:val="32"/>
          <w:szCs w:val="32"/>
        </w:rPr>
        <w:t>25</w:t>
      </w:r>
      <w:r w:rsidRPr="00E53BDD">
        <w:rPr>
          <w:rFonts w:ascii="仿宋" w:eastAsia="仿宋_GB2312" w:hAnsi="仿宋" w:hint="eastAsia"/>
          <w:sz w:val="32"/>
          <w:szCs w:val="32"/>
        </w:rPr>
        <w:t>件，破案</w:t>
      </w:r>
      <w:r w:rsidRPr="00E53BDD">
        <w:rPr>
          <w:rFonts w:ascii="仿宋" w:eastAsia="仿宋_GB2312" w:hAnsi="仿宋" w:hint="eastAsia"/>
          <w:sz w:val="32"/>
          <w:szCs w:val="32"/>
        </w:rPr>
        <w:t>21</w:t>
      </w:r>
      <w:r w:rsidRPr="00E53BDD">
        <w:rPr>
          <w:rFonts w:ascii="仿宋" w:eastAsia="仿宋_GB2312" w:hAnsi="仿宋" w:hint="eastAsia"/>
          <w:sz w:val="32"/>
          <w:szCs w:val="32"/>
        </w:rPr>
        <w:t>件，抓获犯罪嫌疑人</w:t>
      </w:r>
      <w:r w:rsidRPr="00E53BDD">
        <w:rPr>
          <w:rFonts w:ascii="仿宋" w:eastAsia="仿宋_GB2312" w:hAnsi="仿宋" w:hint="eastAsia"/>
          <w:sz w:val="32"/>
          <w:szCs w:val="32"/>
        </w:rPr>
        <w:t>35</w:t>
      </w:r>
      <w:r w:rsidRPr="00E53BDD">
        <w:rPr>
          <w:rFonts w:ascii="仿宋" w:eastAsia="仿宋_GB2312" w:hAnsi="仿宋" w:hint="eastAsia"/>
          <w:sz w:val="32"/>
          <w:szCs w:val="32"/>
        </w:rPr>
        <w:t>人；市法院继续推进知识产权案件“三合一”审判工作，累计审结民事、刑事、行政案件</w:t>
      </w:r>
      <w:r w:rsidRPr="00E53BDD">
        <w:rPr>
          <w:rFonts w:ascii="仿宋" w:eastAsia="仿宋_GB2312" w:hAnsi="仿宋" w:hint="eastAsia"/>
          <w:sz w:val="32"/>
          <w:szCs w:val="32"/>
        </w:rPr>
        <w:t>872</w:t>
      </w:r>
      <w:r w:rsidRPr="00E53BDD">
        <w:rPr>
          <w:rFonts w:ascii="仿宋" w:eastAsia="仿宋_GB2312" w:hAnsi="仿宋" w:hint="eastAsia"/>
          <w:sz w:val="32"/>
          <w:szCs w:val="32"/>
        </w:rPr>
        <w:t>件，知识产权民事一审案件服判息诉率超</w:t>
      </w:r>
      <w:r w:rsidRPr="00E53BDD">
        <w:rPr>
          <w:rFonts w:ascii="仿宋" w:eastAsia="仿宋_GB2312" w:hAnsi="仿宋" w:hint="eastAsia"/>
          <w:sz w:val="32"/>
          <w:szCs w:val="32"/>
        </w:rPr>
        <w:t>90%</w:t>
      </w:r>
      <w:r w:rsidRPr="00E53BDD">
        <w:rPr>
          <w:rFonts w:ascii="仿宋" w:eastAsia="仿宋_GB2312" w:hAnsi="仿宋" w:hint="eastAsia"/>
          <w:sz w:val="32"/>
          <w:szCs w:val="32"/>
        </w:rPr>
        <w:t>。</w:t>
      </w:r>
    </w:p>
    <w:p w:rsidR="00833E93" w:rsidRPr="00E53BDD" w:rsidRDefault="00E53BDD">
      <w:pPr>
        <w:adjustRightInd w:val="0"/>
        <w:spacing w:line="560" w:lineRule="exact"/>
        <w:ind w:firstLine="643"/>
        <w:outlineLvl w:val="2"/>
        <w:rPr>
          <w:rFonts w:ascii="仿宋" w:eastAsia="仿宋_GB2312" w:hAnsi="仿宋"/>
          <w:b/>
          <w:sz w:val="32"/>
          <w:szCs w:val="32"/>
        </w:rPr>
      </w:pPr>
      <w:bookmarkStart w:id="73" w:name="_Toc26977"/>
      <w:bookmarkStart w:id="74" w:name="_Toc13989"/>
      <w:bookmarkStart w:id="75" w:name="_Toc13794"/>
      <w:bookmarkStart w:id="76" w:name="_Toc27515"/>
      <w:bookmarkStart w:id="77" w:name="_Toc23746"/>
      <w:bookmarkStart w:id="78" w:name="_Toc673"/>
      <w:bookmarkStart w:id="79" w:name="_Toc26258"/>
      <w:bookmarkStart w:id="80" w:name="_Toc22338"/>
      <w:bookmarkStart w:id="81" w:name="_Toc17702"/>
      <w:r w:rsidRPr="00E53BDD">
        <w:rPr>
          <w:rFonts w:ascii="仿宋" w:eastAsia="仿宋_GB2312" w:hAnsi="仿宋" w:hint="eastAsia"/>
          <w:b/>
          <w:sz w:val="32"/>
          <w:szCs w:val="32"/>
        </w:rPr>
        <w:t>5.</w:t>
      </w:r>
      <w:r w:rsidRPr="00E53BDD">
        <w:rPr>
          <w:rFonts w:ascii="仿宋" w:eastAsia="仿宋_GB2312" w:hAnsi="仿宋" w:hint="eastAsia"/>
          <w:b/>
          <w:sz w:val="32"/>
          <w:szCs w:val="32"/>
        </w:rPr>
        <w:t>服务能力稳步提升</w:t>
      </w:r>
      <w:bookmarkEnd w:id="73"/>
      <w:bookmarkEnd w:id="74"/>
      <w:bookmarkEnd w:id="75"/>
      <w:bookmarkEnd w:id="76"/>
      <w:bookmarkEnd w:id="77"/>
      <w:bookmarkEnd w:id="78"/>
      <w:bookmarkEnd w:id="79"/>
      <w:bookmarkEnd w:id="80"/>
      <w:bookmarkEnd w:id="81"/>
    </w:p>
    <w:p w:rsidR="00833E93" w:rsidRPr="00E53BDD" w:rsidRDefault="00E53BDD">
      <w:pPr>
        <w:adjustRightInd w:val="0"/>
        <w:spacing w:line="560" w:lineRule="exact"/>
        <w:ind w:firstLine="640"/>
        <w:rPr>
          <w:rFonts w:ascii="仿宋" w:eastAsia="仿宋_GB2312" w:hAnsi="仿宋"/>
          <w:sz w:val="32"/>
          <w:szCs w:val="32"/>
        </w:rPr>
      </w:pPr>
      <w:r w:rsidRPr="00E53BDD">
        <w:rPr>
          <w:rFonts w:ascii="仿宋" w:eastAsia="仿宋_GB2312" w:hAnsi="仿宋" w:hint="eastAsia"/>
          <w:sz w:val="32"/>
          <w:szCs w:val="32"/>
        </w:rPr>
        <w:t>知识产权服务载体快速发展，“十三五”期间，太仓市设立知识产权综合信息服务平台，建成太仓市知识产权资助申报系统、太仓专利监控分析系统。截至“十三五”末，全市知识产权服务机构共计</w:t>
      </w:r>
      <w:r w:rsidRPr="00E53BDD">
        <w:rPr>
          <w:rFonts w:ascii="仿宋" w:eastAsia="仿宋_GB2312" w:hAnsi="仿宋" w:hint="eastAsia"/>
          <w:sz w:val="32"/>
          <w:szCs w:val="32"/>
        </w:rPr>
        <w:t>32</w:t>
      </w:r>
      <w:r w:rsidRPr="00E53BDD">
        <w:rPr>
          <w:rFonts w:ascii="仿宋" w:eastAsia="仿宋_GB2312" w:hAnsi="仿宋" w:hint="eastAsia"/>
          <w:sz w:val="32"/>
          <w:szCs w:val="32"/>
        </w:rPr>
        <w:t>家，其中专利代理机构</w:t>
      </w:r>
      <w:r w:rsidRPr="00E53BDD">
        <w:rPr>
          <w:rFonts w:ascii="仿宋" w:eastAsia="仿宋_GB2312" w:hAnsi="仿宋" w:hint="eastAsia"/>
          <w:sz w:val="32"/>
          <w:szCs w:val="32"/>
        </w:rPr>
        <w:t>12</w:t>
      </w:r>
      <w:r w:rsidRPr="00E53BDD">
        <w:rPr>
          <w:rFonts w:ascii="仿宋" w:eastAsia="仿宋_GB2312" w:hAnsi="仿宋" w:hint="eastAsia"/>
          <w:sz w:val="32"/>
          <w:szCs w:val="32"/>
        </w:rPr>
        <w:t>家，商标代理机构</w:t>
      </w:r>
      <w:r w:rsidRPr="00E53BDD">
        <w:rPr>
          <w:rFonts w:ascii="仿宋" w:eastAsia="仿宋_GB2312" w:hAnsi="仿宋" w:hint="eastAsia"/>
          <w:sz w:val="32"/>
          <w:szCs w:val="32"/>
        </w:rPr>
        <w:t>20</w:t>
      </w:r>
      <w:r w:rsidRPr="00E53BDD">
        <w:rPr>
          <w:rFonts w:ascii="仿宋" w:eastAsia="仿宋_GB2312" w:hAnsi="仿宋" w:hint="eastAsia"/>
          <w:sz w:val="32"/>
          <w:szCs w:val="32"/>
        </w:rPr>
        <w:t>家，执业专利代理师达</w:t>
      </w:r>
      <w:r w:rsidRPr="00E53BDD">
        <w:rPr>
          <w:rFonts w:ascii="仿宋" w:eastAsia="仿宋_GB2312" w:hAnsi="仿宋" w:hint="eastAsia"/>
          <w:sz w:val="32"/>
          <w:szCs w:val="32"/>
        </w:rPr>
        <w:t>44</w:t>
      </w:r>
      <w:r w:rsidRPr="00E53BDD">
        <w:rPr>
          <w:rFonts w:ascii="仿宋" w:eastAsia="仿宋_GB2312" w:hAnsi="仿宋" w:hint="eastAsia"/>
          <w:sz w:val="32"/>
          <w:szCs w:val="32"/>
        </w:rPr>
        <w:t>人，新增获国家专利代理师资格</w:t>
      </w:r>
      <w:r w:rsidRPr="00E53BDD">
        <w:rPr>
          <w:rFonts w:ascii="仿宋" w:eastAsia="仿宋_GB2312" w:hAnsi="仿宋" w:hint="eastAsia"/>
          <w:sz w:val="32"/>
          <w:szCs w:val="32"/>
        </w:rPr>
        <w:t>20</w:t>
      </w:r>
      <w:r w:rsidRPr="00E53BDD">
        <w:rPr>
          <w:rFonts w:ascii="仿宋" w:eastAsia="仿宋_GB2312" w:hAnsi="仿宋" w:hint="eastAsia"/>
          <w:sz w:val="32"/>
          <w:szCs w:val="32"/>
        </w:rPr>
        <w:t>人。企业知识产权服务质量显著提升。每年面向企业组织开展各类针对性知识产权培训，累计组织开展知识产权培训</w:t>
      </w:r>
      <w:r w:rsidRPr="00E53BDD">
        <w:rPr>
          <w:rFonts w:ascii="仿宋" w:eastAsia="仿宋_GB2312" w:hAnsi="仿宋" w:hint="eastAsia"/>
          <w:sz w:val="32"/>
          <w:szCs w:val="32"/>
        </w:rPr>
        <w:t>125</w:t>
      </w:r>
      <w:r w:rsidRPr="00E53BDD">
        <w:rPr>
          <w:rFonts w:ascii="仿宋" w:eastAsia="仿宋_GB2312" w:hAnsi="仿宋" w:hint="eastAsia"/>
          <w:sz w:val="32"/>
          <w:szCs w:val="32"/>
        </w:rPr>
        <w:t>场，培训企业</w:t>
      </w:r>
      <w:r w:rsidRPr="00E53BDD">
        <w:rPr>
          <w:rFonts w:ascii="仿宋" w:eastAsia="仿宋_GB2312" w:hAnsi="仿宋" w:hint="eastAsia"/>
          <w:sz w:val="32"/>
          <w:szCs w:val="32"/>
        </w:rPr>
        <w:t>375</w:t>
      </w:r>
      <w:r w:rsidRPr="00E53BDD">
        <w:rPr>
          <w:rFonts w:ascii="仿宋" w:eastAsia="仿宋_GB2312" w:hAnsi="仿宋" w:hint="eastAsia"/>
          <w:sz w:val="32"/>
          <w:szCs w:val="32"/>
        </w:rPr>
        <w:t>家，培训人员</w:t>
      </w:r>
      <w:r w:rsidRPr="00E53BDD">
        <w:rPr>
          <w:rFonts w:ascii="仿宋" w:eastAsia="仿宋_GB2312" w:hAnsi="仿宋" w:hint="eastAsia"/>
          <w:sz w:val="32"/>
          <w:szCs w:val="32"/>
        </w:rPr>
        <w:t>1000</w:t>
      </w:r>
      <w:r w:rsidRPr="00E53BDD">
        <w:rPr>
          <w:rFonts w:ascii="仿宋" w:eastAsia="仿宋_GB2312" w:hAnsi="仿宋" w:hint="eastAsia"/>
          <w:sz w:val="32"/>
          <w:szCs w:val="32"/>
        </w:rPr>
        <w:t>余人次。</w:t>
      </w:r>
    </w:p>
    <w:p w:rsidR="00833E93" w:rsidRPr="00E53BDD" w:rsidRDefault="00E53BDD">
      <w:pPr>
        <w:adjustRightInd w:val="0"/>
        <w:spacing w:line="560" w:lineRule="exact"/>
        <w:ind w:firstLine="643"/>
        <w:outlineLvl w:val="2"/>
        <w:rPr>
          <w:rFonts w:ascii="仿宋" w:eastAsia="仿宋_GB2312" w:hAnsi="仿宋"/>
          <w:b/>
          <w:sz w:val="32"/>
          <w:szCs w:val="32"/>
        </w:rPr>
      </w:pPr>
      <w:bookmarkStart w:id="82" w:name="_Toc13304"/>
      <w:bookmarkStart w:id="83" w:name="_Toc20929"/>
      <w:bookmarkStart w:id="84" w:name="_Toc26790"/>
      <w:bookmarkStart w:id="85" w:name="_Toc30525"/>
      <w:bookmarkStart w:id="86" w:name="_Toc25820"/>
      <w:bookmarkStart w:id="87" w:name="_Toc29936"/>
      <w:bookmarkStart w:id="88" w:name="_Toc4932"/>
      <w:bookmarkStart w:id="89" w:name="_Toc32716"/>
      <w:bookmarkStart w:id="90" w:name="_Toc11850"/>
      <w:r w:rsidRPr="00E53BDD">
        <w:rPr>
          <w:rFonts w:ascii="仿宋" w:eastAsia="仿宋_GB2312" w:hAnsi="仿宋" w:hint="eastAsia"/>
          <w:b/>
          <w:sz w:val="32"/>
          <w:szCs w:val="32"/>
        </w:rPr>
        <w:t>6.</w:t>
      </w:r>
      <w:r w:rsidRPr="00E53BDD">
        <w:rPr>
          <w:rFonts w:ascii="仿宋" w:eastAsia="仿宋_GB2312" w:hAnsi="仿宋" w:hint="eastAsia"/>
          <w:b/>
          <w:sz w:val="32"/>
          <w:szCs w:val="32"/>
        </w:rPr>
        <w:t>发展环境不断优化</w:t>
      </w:r>
      <w:bookmarkEnd w:id="82"/>
      <w:bookmarkEnd w:id="83"/>
      <w:bookmarkEnd w:id="84"/>
      <w:bookmarkEnd w:id="85"/>
      <w:bookmarkEnd w:id="86"/>
      <w:bookmarkEnd w:id="87"/>
      <w:bookmarkEnd w:id="88"/>
      <w:bookmarkEnd w:id="89"/>
      <w:bookmarkEnd w:id="90"/>
    </w:p>
    <w:p w:rsidR="00833E93" w:rsidRPr="00E53BDD" w:rsidRDefault="00E53BDD">
      <w:pPr>
        <w:adjustRightInd w:val="0"/>
        <w:spacing w:line="560" w:lineRule="exact"/>
        <w:ind w:firstLine="640"/>
        <w:rPr>
          <w:rFonts w:ascii="仿宋" w:eastAsia="仿宋_GB2312" w:hAnsi="仿宋"/>
          <w:sz w:val="32"/>
          <w:szCs w:val="32"/>
        </w:rPr>
      </w:pPr>
      <w:r w:rsidRPr="00E53BDD">
        <w:rPr>
          <w:rFonts w:ascii="仿宋" w:eastAsia="仿宋_GB2312" w:hAnsi="仿宋" w:hint="eastAsia"/>
          <w:sz w:val="32"/>
          <w:szCs w:val="32"/>
        </w:rPr>
        <w:t>“十三五”期间，顺利完成机构改革，新增知识产权科；知识产权财政投入显著提高，各项经费达到</w:t>
      </w:r>
      <w:r w:rsidRPr="00E53BDD">
        <w:rPr>
          <w:rFonts w:ascii="仿宋" w:eastAsia="仿宋_GB2312" w:hAnsi="仿宋" w:hint="eastAsia"/>
          <w:sz w:val="32"/>
          <w:szCs w:val="32"/>
        </w:rPr>
        <w:t>1.0250</w:t>
      </w:r>
      <w:r w:rsidRPr="00E53BDD">
        <w:rPr>
          <w:rFonts w:ascii="仿宋" w:eastAsia="仿宋_GB2312" w:hAnsi="仿宋" w:hint="eastAsia"/>
          <w:sz w:val="32"/>
          <w:szCs w:val="32"/>
        </w:rPr>
        <w:t>亿元，较“十二五”期间增长</w:t>
      </w:r>
      <w:r w:rsidRPr="00E53BDD">
        <w:rPr>
          <w:rFonts w:ascii="仿宋" w:eastAsia="仿宋_GB2312" w:hAnsi="仿宋" w:hint="eastAsia"/>
          <w:sz w:val="32"/>
          <w:szCs w:val="32"/>
        </w:rPr>
        <w:t>55.3%</w:t>
      </w:r>
      <w:r w:rsidRPr="00E53BDD">
        <w:rPr>
          <w:rFonts w:ascii="仿宋" w:eastAsia="仿宋_GB2312" w:hAnsi="仿宋" w:hint="eastAsia"/>
          <w:sz w:val="32"/>
          <w:szCs w:val="32"/>
        </w:rPr>
        <w:t>。重视知识产权人才培育，“十三五”期间，</w:t>
      </w:r>
      <w:r w:rsidRPr="00E53BDD">
        <w:rPr>
          <w:rFonts w:ascii="仿宋" w:eastAsia="仿宋_GB2312" w:hAnsi="仿宋" w:hint="eastAsia"/>
          <w:sz w:val="32"/>
          <w:szCs w:val="32"/>
          <w:lang w:val="zh-CN"/>
        </w:rPr>
        <w:t>太仓</w:t>
      </w:r>
      <w:r w:rsidRPr="00E53BDD">
        <w:rPr>
          <w:rFonts w:ascii="仿宋" w:eastAsia="仿宋_GB2312" w:hAnsi="仿宋" w:hint="eastAsia"/>
          <w:sz w:val="32"/>
          <w:szCs w:val="32"/>
        </w:rPr>
        <w:t>市</w:t>
      </w:r>
      <w:r w:rsidRPr="00E53BDD">
        <w:rPr>
          <w:rFonts w:ascii="仿宋" w:eastAsia="仿宋_GB2312" w:hAnsi="仿宋" w:hint="eastAsia"/>
          <w:sz w:val="32"/>
          <w:szCs w:val="32"/>
          <w:lang w:val="zh-CN"/>
        </w:rPr>
        <w:t>科技领军人才</w:t>
      </w:r>
      <w:r w:rsidRPr="00E53BDD">
        <w:rPr>
          <w:rFonts w:ascii="仿宋" w:eastAsia="仿宋_GB2312" w:hAnsi="仿宋" w:hint="eastAsia"/>
          <w:sz w:val="32"/>
          <w:szCs w:val="32"/>
        </w:rPr>
        <w:t>累计</w:t>
      </w:r>
      <w:r w:rsidRPr="00E53BDD">
        <w:rPr>
          <w:rFonts w:ascii="仿宋" w:eastAsia="仿宋_GB2312" w:hAnsi="仿宋" w:hint="eastAsia"/>
          <w:sz w:val="32"/>
          <w:szCs w:val="32"/>
        </w:rPr>
        <w:t>371</w:t>
      </w:r>
      <w:r w:rsidRPr="00E53BDD">
        <w:rPr>
          <w:rFonts w:ascii="仿宋" w:eastAsia="仿宋_GB2312" w:hAnsi="仿宋" w:hint="eastAsia"/>
          <w:sz w:val="32"/>
          <w:szCs w:val="32"/>
        </w:rPr>
        <w:t>人，知识产权工程师</w:t>
      </w:r>
      <w:r w:rsidRPr="00E53BDD">
        <w:rPr>
          <w:rFonts w:ascii="仿宋" w:eastAsia="仿宋_GB2312" w:hAnsi="仿宋" w:hint="eastAsia"/>
          <w:sz w:val="32"/>
          <w:szCs w:val="32"/>
        </w:rPr>
        <w:t>152</w:t>
      </w:r>
      <w:r w:rsidRPr="00E53BDD">
        <w:rPr>
          <w:rFonts w:ascii="仿宋" w:eastAsia="仿宋_GB2312" w:hAnsi="仿宋" w:hint="eastAsia"/>
          <w:sz w:val="32"/>
          <w:szCs w:val="32"/>
        </w:rPr>
        <w:t>人。开展</w:t>
      </w:r>
      <w:r w:rsidRPr="00E53BDD">
        <w:rPr>
          <w:rFonts w:ascii="仿宋" w:eastAsia="仿宋_GB2312" w:hAnsi="仿宋" w:hint="eastAsia"/>
          <w:sz w:val="32"/>
          <w:szCs w:val="32"/>
        </w:rPr>
        <w:t>4</w:t>
      </w:r>
      <w:r w:rsidRPr="00E53BDD">
        <w:rPr>
          <w:rFonts w:ascii="仿宋" w:eastAsia="仿宋_GB2312" w:hAnsi="仿宋" w:hint="eastAsia"/>
          <w:sz w:val="32"/>
          <w:szCs w:val="32"/>
        </w:rPr>
        <w:t>·</w:t>
      </w:r>
      <w:r w:rsidRPr="00E53BDD">
        <w:rPr>
          <w:rFonts w:ascii="仿宋" w:eastAsia="仿宋_GB2312" w:hAnsi="仿宋" w:hint="eastAsia"/>
          <w:sz w:val="32"/>
          <w:szCs w:val="32"/>
        </w:rPr>
        <w:t>26</w:t>
      </w:r>
      <w:r w:rsidRPr="00E53BDD">
        <w:rPr>
          <w:rFonts w:ascii="仿宋" w:eastAsia="仿宋_GB2312" w:hAnsi="仿宋" w:hint="eastAsia"/>
          <w:sz w:val="32"/>
          <w:szCs w:val="32"/>
        </w:rPr>
        <w:t>世界知识产权日系列宣传活动，打造太仓市“尊重知识、崇尚创新、诚信守法”的知识产权文化氛围。</w:t>
      </w:r>
    </w:p>
    <w:p w:rsidR="00833E93" w:rsidRDefault="00E53BDD">
      <w:pPr>
        <w:pStyle w:val="a1"/>
        <w:ind w:leftChars="0" w:left="0" w:firstLineChars="0" w:firstLine="0"/>
        <w:jc w:val="center"/>
        <w:outlineLvl w:val="9"/>
        <w:rPr>
          <w:sz w:val="28"/>
          <w:szCs w:val="28"/>
        </w:rPr>
      </w:pPr>
      <w:bookmarkStart w:id="91" w:name="_Toc6244"/>
      <w:bookmarkStart w:id="92" w:name="_Toc16877"/>
      <w:bookmarkStart w:id="93" w:name="_Toc28032"/>
      <w:bookmarkStart w:id="94" w:name="_Toc14175"/>
      <w:bookmarkStart w:id="95" w:name="_Toc29543"/>
      <w:bookmarkStart w:id="96" w:name="_Toc29580"/>
      <w:bookmarkStart w:id="97" w:name="_Toc14768"/>
      <w:bookmarkStart w:id="98" w:name="_Toc1738"/>
      <w:bookmarkStart w:id="99" w:name="_Toc30517"/>
      <w:bookmarkStart w:id="100" w:name="_Toc16352"/>
      <w:bookmarkStart w:id="101" w:name="_Toc2285"/>
      <w:r>
        <w:rPr>
          <w:rFonts w:ascii="黑体" w:eastAsia="黑体" w:hAnsi="黑体" w:cs="黑体" w:hint="eastAsia"/>
          <w:b w:val="0"/>
          <w:bCs/>
          <w:sz w:val="28"/>
          <w:szCs w:val="28"/>
        </w:rPr>
        <w:t>表1 太仓市“十三五”知识产权发展主要指标</w:t>
      </w:r>
      <w:bookmarkEnd w:id="91"/>
      <w:bookmarkEnd w:id="92"/>
      <w:bookmarkEnd w:id="93"/>
      <w:bookmarkEnd w:id="94"/>
      <w:bookmarkEnd w:id="95"/>
      <w:bookmarkEnd w:id="96"/>
      <w:bookmarkEnd w:id="97"/>
      <w:bookmarkEnd w:id="98"/>
      <w:bookmarkEnd w:id="99"/>
      <w:bookmarkEnd w:id="100"/>
      <w:bookmarkEnd w:id="101"/>
    </w:p>
    <w:tbl>
      <w:tblPr>
        <w:tblStyle w:val="aa"/>
        <w:tblW w:w="8519" w:type="dxa"/>
        <w:jc w:val="center"/>
        <w:tblBorders>
          <w:top w:val="single" w:sz="8" w:space="0" w:color="auto"/>
          <w:left w:val="single" w:sz="8" w:space="0" w:color="auto"/>
          <w:bottom w:val="single" w:sz="8" w:space="0" w:color="auto"/>
          <w:right w:val="single" w:sz="8" w:space="0" w:color="auto"/>
        </w:tblBorders>
        <w:tblLook w:val="04A0"/>
      </w:tblPr>
      <w:tblGrid>
        <w:gridCol w:w="586"/>
        <w:gridCol w:w="2125"/>
        <w:gridCol w:w="4653"/>
        <w:gridCol w:w="1155"/>
      </w:tblGrid>
      <w:tr w:rsidR="00833E93">
        <w:trPr>
          <w:trHeight w:val="23"/>
          <w:tblHeader/>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序号</w:t>
            </w:r>
          </w:p>
        </w:tc>
        <w:tc>
          <w:tcPr>
            <w:tcW w:w="2125"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项目</w:t>
            </w:r>
          </w:p>
        </w:tc>
        <w:tc>
          <w:tcPr>
            <w:tcW w:w="4653"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核心指标（单位）</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b/>
                <w:kern w:val="0"/>
                <w:sz w:val="18"/>
                <w:szCs w:val="18"/>
              </w:rPr>
            </w:pPr>
            <w:r w:rsidRPr="00E53BDD">
              <w:rPr>
                <w:rFonts w:ascii="仿宋" w:eastAsia="仿宋_GB2312" w:hAnsi="仿宋" w:cs="仿宋" w:hint="eastAsia"/>
                <w:b/>
                <w:kern w:val="0"/>
                <w:sz w:val="18"/>
                <w:szCs w:val="18"/>
              </w:rPr>
              <w:t>完成情况</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1</w:t>
            </w:r>
          </w:p>
        </w:tc>
        <w:tc>
          <w:tcPr>
            <w:tcW w:w="2125" w:type="dxa"/>
            <w:vMerge w:val="restart"/>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知识产权创造</w:t>
            </w: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万人发明专利拥有量（件）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65.61</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2</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新增</w:t>
            </w:r>
            <w:r w:rsidRPr="00E53BDD">
              <w:rPr>
                <w:rFonts w:ascii="仿宋" w:eastAsia="仿宋_GB2312" w:hAnsi="仿宋" w:cs="仿宋" w:hint="eastAsia"/>
                <w:kern w:val="0"/>
                <w:sz w:val="18"/>
                <w:szCs w:val="18"/>
              </w:rPr>
              <w:t>PCT</w:t>
            </w:r>
            <w:r w:rsidRPr="00E53BDD">
              <w:rPr>
                <w:rFonts w:ascii="仿宋" w:eastAsia="仿宋_GB2312" w:hAnsi="仿宋" w:cs="仿宋" w:hint="eastAsia"/>
                <w:kern w:val="0"/>
                <w:sz w:val="18"/>
                <w:szCs w:val="18"/>
              </w:rPr>
              <w:t>国际专利申请量（件）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737</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3</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新增一般作品著作权登记量（件）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4199</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4</w:t>
            </w:r>
          </w:p>
        </w:tc>
        <w:tc>
          <w:tcPr>
            <w:tcW w:w="2125" w:type="dxa"/>
            <w:vMerge w:val="restart"/>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知识产权运用</w:t>
            </w: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知识产权</w:t>
            </w:r>
            <w:r w:rsidRPr="00E53BDD">
              <w:rPr>
                <w:rFonts w:ascii="仿宋" w:eastAsia="仿宋_GB2312" w:hAnsi="仿宋" w:cs="仿宋" w:hint="eastAsia"/>
                <w:sz w:val="18"/>
                <w:szCs w:val="18"/>
                <w:lang w:val="zh-TW" w:eastAsia="zh-TW"/>
              </w:rPr>
              <w:t>质押</w:t>
            </w:r>
            <w:r w:rsidRPr="00E53BDD">
              <w:rPr>
                <w:rFonts w:ascii="仿宋" w:eastAsia="仿宋_GB2312" w:hAnsi="仿宋" w:cs="仿宋" w:hint="eastAsia"/>
                <w:sz w:val="18"/>
                <w:szCs w:val="18"/>
              </w:rPr>
              <w:t>融资登记</w:t>
            </w:r>
            <w:r w:rsidRPr="00E53BDD">
              <w:rPr>
                <w:rFonts w:ascii="仿宋" w:eastAsia="仿宋_GB2312" w:hAnsi="仿宋" w:cs="仿宋" w:hint="eastAsia"/>
                <w:sz w:val="18"/>
                <w:szCs w:val="18"/>
                <w:lang w:val="zh-TW" w:eastAsia="zh-TW"/>
              </w:rPr>
              <w:t>金额（亿元）</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9.48</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5</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企业知识产权贯标认证数量（家）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129</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6</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苏州市级以上知识产权项目立项（项）</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53</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7</w:t>
            </w:r>
          </w:p>
        </w:tc>
        <w:tc>
          <w:tcPr>
            <w:tcW w:w="2125" w:type="dxa"/>
            <w:vMerge w:val="restart"/>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知识产权保护</w:t>
            </w: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知识产权民事一审案件服判息诉率（</w:t>
            </w:r>
            <w:r w:rsidRPr="00E53BDD">
              <w:rPr>
                <w:rFonts w:ascii="仿宋" w:eastAsia="仿宋_GB2312" w:hAnsi="仿宋" w:cs="仿宋" w:hint="eastAsia"/>
                <w:sz w:val="18"/>
                <w:szCs w:val="18"/>
              </w:rPr>
              <w:t>%</w:t>
            </w:r>
            <w:r w:rsidRPr="00E53BDD">
              <w:rPr>
                <w:rFonts w:ascii="仿宋" w:eastAsia="仿宋_GB2312" w:hAnsi="仿宋" w:cs="仿宋" w:hint="eastAsia"/>
                <w:sz w:val="18"/>
                <w:szCs w:val="18"/>
              </w:rPr>
              <w:t>）</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w:t>
            </w:r>
            <w:r w:rsidRPr="00E53BDD">
              <w:rPr>
                <w:rFonts w:ascii="仿宋" w:eastAsia="仿宋_GB2312" w:hAnsi="仿宋" w:cs="仿宋" w:hint="eastAsia"/>
                <w:kern w:val="0"/>
                <w:sz w:val="18"/>
                <w:szCs w:val="18"/>
              </w:rPr>
              <w:t>90</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8</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知识产权行政执法案件办结率（</w:t>
            </w:r>
            <w:r w:rsidRPr="00E53BDD">
              <w:rPr>
                <w:rFonts w:ascii="仿宋" w:eastAsia="仿宋_GB2312" w:hAnsi="仿宋" w:cs="仿宋" w:hint="eastAsia"/>
                <w:kern w:val="0"/>
                <w:sz w:val="18"/>
                <w:szCs w:val="18"/>
              </w:rPr>
              <w:t>%</w:t>
            </w:r>
            <w:r w:rsidRPr="00E53BDD">
              <w:rPr>
                <w:rFonts w:ascii="仿宋" w:eastAsia="仿宋_GB2312" w:hAnsi="仿宋" w:cs="仿宋" w:hint="eastAsia"/>
                <w:kern w:val="0"/>
                <w:sz w:val="18"/>
                <w:szCs w:val="18"/>
              </w:rPr>
              <w:t>）</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100</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9</w:t>
            </w:r>
          </w:p>
        </w:tc>
        <w:tc>
          <w:tcPr>
            <w:tcW w:w="2125" w:type="dxa"/>
            <w:vMerge w:val="restart"/>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知识产权服务</w:t>
            </w: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培训企业数量（家）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375</w:t>
            </w:r>
          </w:p>
        </w:tc>
      </w:tr>
      <w:tr w:rsidR="00833E93">
        <w:trPr>
          <w:trHeight w:val="23"/>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10</w:t>
            </w:r>
          </w:p>
        </w:tc>
        <w:tc>
          <w:tcPr>
            <w:tcW w:w="2125" w:type="dxa"/>
            <w:vMerge/>
            <w:tcBorders>
              <w:tl2br w:val="nil"/>
              <w:tr2bl w:val="nil"/>
            </w:tcBorders>
            <w:vAlign w:val="center"/>
          </w:tcPr>
          <w:p w:rsidR="00833E93" w:rsidRDefault="00833E93">
            <w:pPr>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知识产权服务机构（家）</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32</w:t>
            </w:r>
          </w:p>
        </w:tc>
      </w:tr>
    </w:tbl>
    <w:p w:rsidR="00833E93" w:rsidRPr="00E53BDD" w:rsidRDefault="00E53BDD">
      <w:pPr>
        <w:pStyle w:val="2"/>
        <w:ind w:firstLine="640"/>
        <w:rPr>
          <w:rFonts w:eastAsia="楷体_GB2312"/>
        </w:rPr>
      </w:pPr>
      <w:bookmarkStart w:id="102" w:name="_Toc3692"/>
      <w:bookmarkStart w:id="103" w:name="_Toc29681"/>
      <w:bookmarkStart w:id="104" w:name="_Toc9049"/>
      <w:bookmarkStart w:id="105" w:name="_Toc24837"/>
      <w:bookmarkStart w:id="106" w:name="_Toc18555"/>
      <w:bookmarkStart w:id="107" w:name="_Toc17016"/>
      <w:bookmarkStart w:id="108" w:name="_Toc26527"/>
      <w:bookmarkStart w:id="109" w:name="_Toc24895"/>
      <w:bookmarkStart w:id="110" w:name="_Toc24665"/>
      <w:r w:rsidRPr="00E53BDD">
        <w:rPr>
          <w:rFonts w:eastAsia="楷体_GB2312" w:hint="eastAsia"/>
        </w:rPr>
        <w:t>当前存在的主要问题</w:t>
      </w:r>
      <w:bookmarkEnd w:id="102"/>
      <w:bookmarkEnd w:id="103"/>
      <w:bookmarkEnd w:id="104"/>
      <w:bookmarkEnd w:id="105"/>
      <w:bookmarkEnd w:id="106"/>
      <w:bookmarkEnd w:id="107"/>
      <w:bookmarkEnd w:id="108"/>
      <w:bookmarkEnd w:id="109"/>
      <w:bookmarkEnd w:id="110"/>
    </w:p>
    <w:p w:rsidR="00833E93" w:rsidRDefault="00E53BDD">
      <w:pPr>
        <w:adjustRightInd w:val="0"/>
        <w:snapToGrid w:val="0"/>
        <w:spacing w:line="560" w:lineRule="exact"/>
        <w:ind w:firstLine="640"/>
        <w:rPr>
          <w:rFonts w:eastAsia="仿宋_GB2312" w:cs="Times New Roman"/>
          <w:sz w:val="32"/>
          <w:szCs w:val="32"/>
        </w:rPr>
      </w:pPr>
      <w:r w:rsidRPr="00E53BDD">
        <w:rPr>
          <w:rFonts w:ascii="仿宋" w:eastAsia="仿宋_GB2312" w:hAnsi="仿宋" w:hint="eastAsia"/>
          <w:sz w:val="32"/>
          <w:szCs w:val="32"/>
        </w:rPr>
        <w:t>取得相应成就的同时，太仓市知识产权工作仍存在不少问题和短板，主要表现为：</w:t>
      </w:r>
      <w:r>
        <w:rPr>
          <w:rFonts w:eastAsia="仿宋_GB2312" w:cs="Times New Roman" w:hint="eastAsia"/>
          <w:b/>
          <w:bCs/>
          <w:sz w:val="32"/>
          <w:szCs w:val="32"/>
        </w:rPr>
        <w:t>一是在知识产权创造层面</w:t>
      </w:r>
      <w:r>
        <w:rPr>
          <w:rFonts w:eastAsia="仿宋_GB2312" w:cs="Times New Roman" w:hint="eastAsia"/>
          <w:sz w:val="32"/>
          <w:szCs w:val="32"/>
        </w:rPr>
        <w:t>，高价值知识产权产出不足，国家级、省级项目与奖项申报数量不多，专利授权量、商标注册</w:t>
      </w:r>
      <w:proofErr w:type="gramStart"/>
      <w:r>
        <w:rPr>
          <w:rFonts w:eastAsia="仿宋_GB2312" w:cs="Times New Roman" w:hint="eastAsia"/>
          <w:sz w:val="32"/>
          <w:szCs w:val="32"/>
        </w:rPr>
        <w:t>量整体</w:t>
      </w:r>
      <w:proofErr w:type="gramEnd"/>
      <w:r>
        <w:rPr>
          <w:rFonts w:eastAsia="仿宋_GB2312" w:cs="Times New Roman" w:hint="eastAsia"/>
          <w:sz w:val="32"/>
          <w:szCs w:val="32"/>
        </w:rPr>
        <w:t>偏少。</w:t>
      </w:r>
      <w:r>
        <w:rPr>
          <w:rFonts w:eastAsia="仿宋_GB2312" w:cs="Times New Roman" w:hint="eastAsia"/>
          <w:b/>
          <w:bCs/>
          <w:sz w:val="32"/>
          <w:szCs w:val="32"/>
        </w:rPr>
        <w:t>二是在知识产权运用层面，</w:t>
      </w:r>
      <w:r>
        <w:rPr>
          <w:rFonts w:eastAsia="仿宋_GB2312" w:cs="Times New Roman" w:hint="eastAsia"/>
          <w:sz w:val="32"/>
          <w:szCs w:val="32"/>
        </w:rPr>
        <w:t>知识产权运用能力有待提升，知识产权价值转化效率较低。</w:t>
      </w:r>
      <w:r>
        <w:rPr>
          <w:rFonts w:eastAsia="仿宋_GB2312" w:cs="Times New Roman" w:hint="eastAsia"/>
          <w:b/>
          <w:bCs/>
          <w:sz w:val="32"/>
          <w:szCs w:val="32"/>
        </w:rPr>
        <w:t>三是在知识产权保护层面，</w:t>
      </w:r>
      <w:r>
        <w:rPr>
          <w:rFonts w:eastAsia="仿宋_GB2312" w:cs="Times New Roman" w:hint="eastAsia"/>
          <w:sz w:val="32"/>
          <w:szCs w:val="32"/>
        </w:rPr>
        <w:t>知识产权侵权手段不断翻新，</w:t>
      </w:r>
      <w:proofErr w:type="gramStart"/>
      <w:r>
        <w:rPr>
          <w:rFonts w:eastAsia="仿宋_GB2312" w:cs="Times New Roman" w:hint="eastAsia"/>
          <w:sz w:val="32"/>
          <w:szCs w:val="32"/>
        </w:rPr>
        <w:t>维权难问题</w:t>
      </w:r>
      <w:proofErr w:type="gramEnd"/>
      <w:r>
        <w:rPr>
          <w:rFonts w:eastAsia="仿宋_GB2312" w:cs="Times New Roman" w:hint="eastAsia"/>
          <w:sz w:val="32"/>
          <w:szCs w:val="32"/>
        </w:rPr>
        <w:t>仍然存在。</w:t>
      </w:r>
      <w:r>
        <w:rPr>
          <w:rFonts w:eastAsia="仿宋_GB2312" w:cs="Times New Roman" w:hint="eastAsia"/>
          <w:b/>
          <w:bCs/>
          <w:sz w:val="32"/>
          <w:szCs w:val="32"/>
        </w:rPr>
        <w:t>四是在知识产权管理层面，</w:t>
      </w:r>
      <w:r>
        <w:rPr>
          <w:rFonts w:eastAsia="仿宋_GB2312" w:cs="Times New Roman" w:hint="eastAsia"/>
          <w:sz w:val="32"/>
          <w:szCs w:val="32"/>
        </w:rPr>
        <w:t>企业知识产权管理意识薄弱，知识产权执法能力有待提升。</w:t>
      </w:r>
      <w:r>
        <w:rPr>
          <w:rFonts w:eastAsia="仿宋_GB2312" w:cs="Times New Roman" w:hint="eastAsia"/>
          <w:b/>
          <w:bCs/>
          <w:sz w:val="32"/>
          <w:szCs w:val="32"/>
        </w:rPr>
        <w:t>五是在知识产权服务层面，</w:t>
      </w:r>
      <w:r>
        <w:rPr>
          <w:rFonts w:eastAsia="仿宋_GB2312" w:cs="Times New Roman" w:hint="eastAsia"/>
          <w:sz w:val="32"/>
          <w:szCs w:val="32"/>
        </w:rPr>
        <w:t>品牌化知识产权服务机构缺乏，高端知识产权人才供给不足。</w:t>
      </w:r>
    </w:p>
    <w:p w:rsidR="00833E93" w:rsidRPr="00E53BDD" w:rsidRDefault="00E53BDD">
      <w:pPr>
        <w:pStyle w:val="2"/>
        <w:ind w:firstLine="640"/>
        <w:rPr>
          <w:rFonts w:eastAsia="楷体_GB2312"/>
        </w:rPr>
      </w:pPr>
      <w:bookmarkStart w:id="111" w:name="_Toc25427"/>
      <w:bookmarkStart w:id="112" w:name="_Toc2300"/>
      <w:bookmarkStart w:id="113" w:name="_Toc29699"/>
      <w:bookmarkStart w:id="114" w:name="_Toc4975"/>
      <w:bookmarkStart w:id="115" w:name="_Toc1477"/>
      <w:bookmarkStart w:id="116" w:name="_Toc20302"/>
      <w:bookmarkStart w:id="117" w:name="_Toc27626"/>
      <w:bookmarkStart w:id="118" w:name="_Toc28153"/>
      <w:bookmarkStart w:id="119" w:name="_Toc845"/>
      <w:r w:rsidRPr="00E53BDD">
        <w:rPr>
          <w:rFonts w:eastAsia="楷体_GB2312" w:hint="eastAsia"/>
        </w:rPr>
        <w:t>机遇与挑战</w:t>
      </w:r>
      <w:bookmarkEnd w:id="111"/>
      <w:bookmarkEnd w:id="112"/>
      <w:bookmarkEnd w:id="113"/>
      <w:bookmarkEnd w:id="114"/>
      <w:bookmarkEnd w:id="115"/>
      <w:bookmarkEnd w:id="116"/>
      <w:bookmarkEnd w:id="117"/>
      <w:bookmarkEnd w:id="118"/>
      <w:bookmarkEnd w:id="119"/>
    </w:p>
    <w:p w:rsidR="00833E93" w:rsidRPr="00E53BDD" w:rsidRDefault="00E53BDD">
      <w:pPr>
        <w:adjustRightInd w:val="0"/>
        <w:snapToGrid w:val="0"/>
        <w:spacing w:line="560" w:lineRule="exact"/>
        <w:ind w:firstLine="640"/>
        <w:rPr>
          <w:rFonts w:eastAsia="仿宋_GB2312" w:cs="仿宋"/>
          <w:sz w:val="32"/>
          <w:szCs w:val="32"/>
        </w:rPr>
      </w:pPr>
      <w:r w:rsidRPr="00E53BDD">
        <w:rPr>
          <w:rFonts w:eastAsia="仿宋_GB2312" w:cs="仿宋" w:hint="eastAsia"/>
          <w:sz w:val="32"/>
          <w:szCs w:val="32"/>
        </w:rPr>
        <w:t>“十四五”时期，世界正经历百年未有之大变局，我国正迈入社会主义现代化建设新征程，也是知识产权强国建设全面建设的重要时期，知识产权事业发展面临着新形势与新问题，机遇与挑战并存。</w:t>
      </w:r>
    </w:p>
    <w:p w:rsidR="00833E93" w:rsidRPr="00E53BDD" w:rsidRDefault="00E53BDD">
      <w:pPr>
        <w:adjustRightInd w:val="0"/>
        <w:snapToGrid w:val="0"/>
        <w:spacing w:line="560" w:lineRule="exact"/>
        <w:ind w:firstLine="643"/>
        <w:rPr>
          <w:rFonts w:eastAsia="仿宋_GB2312" w:cs="仿宋"/>
          <w:sz w:val="32"/>
          <w:szCs w:val="32"/>
        </w:rPr>
      </w:pPr>
      <w:r w:rsidRPr="00E53BDD">
        <w:rPr>
          <w:rFonts w:ascii="楷体" w:eastAsia="楷体_GB2312" w:hAnsi="楷体" w:cs="楷体" w:hint="eastAsia"/>
          <w:b/>
          <w:bCs/>
          <w:sz w:val="32"/>
          <w:szCs w:val="32"/>
        </w:rPr>
        <w:t>从国际看，</w:t>
      </w:r>
      <w:r w:rsidRPr="00E53BDD">
        <w:rPr>
          <w:rFonts w:eastAsia="仿宋_GB2312" w:cs="仿宋" w:hint="eastAsia"/>
          <w:sz w:val="32"/>
          <w:szCs w:val="32"/>
        </w:rPr>
        <w:t>新一轮科技革命和产业变革加快重塑全球经济格局，知识产权俨然成为经济全球化时代国际竞争力的核心要素和全球重要的贸易资源。新冠疫情影响广泛深远，经济全球化也正遭遇逆流，知识产权国际竞争激烈程度空前加剧，国际知识产权规则和制度发生巨大的调整和创新，国际经贸秩序与治理体系正在重构，我国知识产权事业发展与经济社会发展面临严峻挑战。积极融入知识产权全球治理体系，强化新兴领域知识产权保护与合作，也成为新时期我国知识产权发展领域的重要任务与战略举措。</w:t>
      </w:r>
    </w:p>
    <w:p w:rsidR="00833E93" w:rsidRPr="00E53BDD" w:rsidRDefault="00E53BDD">
      <w:pPr>
        <w:adjustRightInd w:val="0"/>
        <w:snapToGrid w:val="0"/>
        <w:spacing w:line="560" w:lineRule="exact"/>
        <w:ind w:firstLine="643"/>
        <w:rPr>
          <w:rFonts w:eastAsia="仿宋_GB2312" w:cs="仿宋"/>
          <w:sz w:val="32"/>
          <w:szCs w:val="32"/>
        </w:rPr>
      </w:pPr>
      <w:r w:rsidRPr="00E53BDD">
        <w:rPr>
          <w:rFonts w:ascii="楷体" w:eastAsia="楷体_GB2312" w:hAnsi="楷体" w:cs="楷体" w:hint="eastAsia"/>
          <w:b/>
          <w:bCs/>
          <w:sz w:val="32"/>
          <w:szCs w:val="32"/>
        </w:rPr>
        <w:t>从国内看，</w:t>
      </w:r>
      <w:r w:rsidRPr="00E53BDD">
        <w:rPr>
          <w:rFonts w:eastAsia="仿宋_GB2312" w:cs="仿宋" w:hint="eastAsia"/>
          <w:sz w:val="32"/>
          <w:szCs w:val="32"/>
        </w:rPr>
        <w:t>“十四五”时期是全面落</w:t>
      </w:r>
      <w:proofErr w:type="gramStart"/>
      <w:r w:rsidRPr="00E53BDD">
        <w:rPr>
          <w:rFonts w:eastAsia="仿宋_GB2312" w:cs="仿宋" w:hint="eastAsia"/>
          <w:sz w:val="32"/>
          <w:szCs w:val="32"/>
        </w:rPr>
        <w:t>实习近</w:t>
      </w:r>
      <w:proofErr w:type="gramEnd"/>
      <w:r w:rsidRPr="00E53BDD">
        <w:rPr>
          <w:rFonts w:eastAsia="仿宋_GB2312" w:cs="仿宋" w:hint="eastAsia"/>
          <w:sz w:val="32"/>
          <w:szCs w:val="32"/>
        </w:rPr>
        <w:t>平总书记关于知识产权工作的重要指示论述和对江苏、对苏州工作的重要指示精神的重要时期，也是贯彻实施</w:t>
      </w:r>
      <w:r w:rsidRPr="00E53BDD">
        <w:rPr>
          <w:rFonts w:ascii="仿宋" w:eastAsia="仿宋_GB2312" w:hAnsi="仿宋" w:cs="仿宋" w:hint="eastAsia"/>
          <w:sz w:val="32"/>
          <w:szCs w:val="32"/>
        </w:rPr>
        <w:t>《知识产权强国建设纲要（</w:t>
      </w:r>
      <w:r w:rsidRPr="00E53BDD">
        <w:rPr>
          <w:rFonts w:ascii="仿宋" w:eastAsia="仿宋_GB2312" w:hAnsi="仿宋" w:cs="仿宋" w:hint="eastAsia"/>
          <w:sz w:val="32"/>
          <w:szCs w:val="32"/>
        </w:rPr>
        <w:t>2021-2035</w:t>
      </w:r>
      <w:r w:rsidRPr="00E53BDD">
        <w:rPr>
          <w:rFonts w:ascii="仿宋" w:eastAsia="仿宋_GB2312" w:hAnsi="仿宋" w:cs="仿宋" w:hint="eastAsia"/>
          <w:sz w:val="32"/>
          <w:szCs w:val="32"/>
        </w:rPr>
        <w:t>年）》第一个五年计划的关键时期。</w:t>
      </w:r>
      <w:r w:rsidRPr="00E53BDD">
        <w:rPr>
          <w:rFonts w:eastAsia="仿宋_GB2312" w:cs="仿宋" w:hint="eastAsia"/>
          <w:sz w:val="32"/>
          <w:szCs w:val="32"/>
        </w:rPr>
        <w:t>当前我国正在由知识产权大国向知识产权强国转变，推动知识产权高质量发展成为保持国民经济持续健康发展的必然选择。</w:t>
      </w:r>
    </w:p>
    <w:p w:rsidR="00833E93" w:rsidRPr="00E53BDD" w:rsidRDefault="00E53BDD">
      <w:pPr>
        <w:adjustRightInd w:val="0"/>
        <w:snapToGrid w:val="0"/>
        <w:spacing w:line="560" w:lineRule="exact"/>
        <w:ind w:firstLine="643"/>
        <w:rPr>
          <w:rFonts w:eastAsia="仿宋_GB2312" w:cs="仿宋"/>
          <w:sz w:val="32"/>
          <w:szCs w:val="32"/>
        </w:rPr>
      </w:pPr>
      <w:r w:rsidRPr="00E53BDD">
        <w:rPr>
          <w:rFonts w:ascii="楷体" w:eastAsia="楷体_GB2312" w:hAnsi="楷体" w:cs="楷体" w:hint="eastAsia"/>
          <w:b/>
          <w:bCs/>
          <w:sz w:val="32"/>
          <w:szCs w:val="32"/>
        </w:rPr>
        <w:t>从自身看，</w:t>
      </w:r>
      <w:r w:rsidRPr="00E53BDD">
        <w:rPr>
          <w:rFonts w:eastAsia="仿宋_GB2312" w:cs="仿宋" w:hint="eastAsia"/>
          <w:sz w:val="32"/>
          <w:szCs w:val="32"/>
        </w:rPr>
        <w:t>太仓作为苏州各板块经济发展最活跃地区之一，知识产权县域竞争力排行常居全国十强行列，但是相较于知识产权发展势头强劲地区仍有一定差距。从“十三五”工作基础来看，知识产权示范创建效果不明显，高价值知识产权数量偏少，知识产权转化、许可、运营不够活跃，知识产权保护成效不够明显，知识产权载体建设薄弱，知识产权高端人才较为匮乏，知识产权公共服务存在短板。</w:t>
      </w:r>
    </w:p>
    <w:p w:rsidR="00833E93" w:rsidRDefault="00E53BDD">
      <w:pPr>
        <w:pStyle w:val="1"/>
        <w:adjustRightInd w:val="0"/>
        <w:ind w:firstLine="640"/>
      </w:pPr>
      <w:bookmarkStart w:id="120" w:name="_Toc15784"/>
      <w:bookmarkStart w:id="121" w:name="_Toc25948"/>
      <w:bookmarkStart w:id="122" w:name="_Toc15661"/>
      <w:bookmarkStart w:id="123" w:name="_Toc1036"/>
      <w:bookmarkStart w:id="124" w:name="_Toc7471"/>
      <w:bookmarkStart w:id="125" w:name="_Toc6830"/>
      <w:bookmarkStart w:id="126" w:name="_Toc8861"/>
      <w:bookmarkStart w:id="127" w:name="_Toc30506"/>
      <w:bookmarkStart w:id="128" w:name="_Toc19023"/>
      <w:r>
        <w:rPr>
          <w:rFonts w:hint="eastAsia"/>
        </w:rPr>
        <w:t>指导思想与发展目标</w:t>
      </w:r>
      <w:bookmarkEnd w:id="120"/>
      <w:bookmarkEnd w:id="121"/>
      <w:bookmarkEnd w:id="122"/>
      <w:bookmarkEnd w:id="123"/>
      <w:bookmarkEnd w:id="124"/>
      <w:bookmarkEnd w:id="125"/>
      <w:bookmarkEnd w:id="126"/>
      <w:bookmarkEnd w:id="127"/>
      <w:bookmarkEnd w:id="128"/>
    </w:p>
    <w:p w:rsidR="00833E93" w:rsidRPr="00E53BDD" w:rsidRDefault="00E53BDD">
      <w:pPr>
        <w:pStyle w:val="2"/>
        <w:ind w:firstLine="640"/>
        <w:rPr>
          <w:rFonts w:eastAsia="楷体_GB2312"/>
        </w:rPr>
      </w:pPr>
      <w:bookmarkStart w:id="129" w:name="_Toc21720"/>
      <w:bookmarkStart w:id="130" w:name="_Toc19148"/>
      <w:bookmarkStart w:id="131" w:name="_Toc12366"/>
      <w:bookmarkStart w:id="132" w:name="_Toc21729"/>
      <w:bookmarkStart w:id="133" w:name="_Toc14000"/>
      <w:bookmarkStart w:id="134" w:name="_Toc16333"/>
      <w:bookmarkStart w:id="135" w:name="_Toc20204"/>
      <w:bookmarkStart w:id="136" w:name="_Toc1367"/>
      <w:bookmarkStart w:id="137" w:name="_Toc28344"/>
      <w:r w:rsidRPr="00E53BDD">
        <w:rPr>
          <w:rFonts w:eastAsia="楷体_GB2312"/>
        </w:rPr>
        <w:t>指导思想</w:t>
      </w:r>
      <w:bookmarkEnd w:id="129"/>
      <w:bookmarkEnd w:id="130"/>
      <w:bookmarkEnd w:id="131"/>
      <w:bookmarkEnd w:id="132"/>
      <w:bookmarkEnd w:id="133"/>
      <w:bookmarkEnd w:id="134"/>
      <w:bookmarkEnd w:id="135"/>
      <w:bookmarkEnd w:id="136"/>
      <w:bookmarkEnd w:id="137"/>
    </w:p>
    <w:p w:rsidR="00833E93" w:rsidRPr="00E53BDD" w:rsidRDefault="00E53BDD">
      <w:pPr>
        <w:pStyle w:val="ad"/>
        <w:ind w:firstLine="640"/>
        <w:rPr>
          <w:rFonts w:eastAsia="仿宋_GB2312" w:hint="default"/>
        </w:rPr>
      </w:pPr>
      <w:r w:rsidRPr="00E53BDD">
        <w:rPr>
          <w:rFonts w:eastAsia="仿宋_GB2312"/>
        </w:rPr>
        <w:t>坚持</w:t>
      </w:r>
      <w:r w:rsidRPr="00E53BDD">
        <w:rPr>
          <w:rFonts w:eastAsia="仿宋_GB2312" w:hint="default"/>
        </w:rPr>
        <w:t>以习近平新时代中国特色社会主义思想为指导，深入贯彻党的十九大和十九届历次全会精神，严格遵循党的基本路线、基本方略，全面落</w:t>
      </w:r>
      <w:proofErr w:type="gramStart"/>
      <w:r w:rsidRPr="00E53BDD">
        <w:rPr>
          <w:rFonts w:eastAsia="仿宋_GB2312" w:hint="default"/>
        </w:rPr>
        <w:t>实习近</w:t>
      </w:r>
      <w:proofErr w:type="gramEnd"/>
      <w:r w:rsidRPr="00E53BDD">
        <w:rPr>
          <w:rFonts w:eastAsia="仿宋_GB2312" w:hint="default"/>
        </w:rPr>
        <w:t>平总书记关于知识产权工作的重要指示论述和对江苏、对苏州工作的重要指示精神，立足新发展阶段，贯彻新发展理念，构建新发展格局，以实现</w:t>
      </w:r>
      <w:r w:rsidRPr="00E53BDD">
        <w:rPr>
          <w:rFonts w:eastAsia="仿宋_GB2312"/>
        </w:rPr>
        <w:t>知识产权高质量发展为导向</w:t>
      </w:r>
      <w:r w:rsidRPr="00E53BDD">
        <w:rPr>
          <w:rFonts w:eastAsia="仿宋_GB2312" w:hint="default"/>
        </w:rPr>
        <w:t>，打通知识产权创造、保护、运用、管理、服务全链条，推动</w:t>
      </w:r>
      <w:r w:rsidRPr="00E53BDD">
        <w:rPr>
          <w:rFonts w:eastAsia="仿宋_GB2312"/>
        </w:rPr>
        <w:t>太仓</w:t>
      </w:r>
      <w:r w:rsidRPr="00E53BDD">
        <w:rPr>
          <w:rFonts w:eastAsia="仿宋_GB2312" w:hint="default"/>
        </w:rPr>
        <w:t>知识产权高质量创造、高标准保护、高效益运用、高品质服务和高水平合作</w:t>
      </w:r>
      <w:r w:rsidRPr="00E53BDD">
        <w:rPr>
          <w:rFonts w:eastAsia="仿宋_GB2312"/>
        </w:rPr>
        <w:t>，奋力开启太仓知识产权强市建设新时代。</w:t>
      </w:r>
    </w:p>
    <w:p w:rsidR="00833E93" w:rsidRPr="00E53BDD" w:rsidRDefault="00E53BDD">
      <w:pPr>
        <w:pStyle w:val="2"/>
        <w:ind w:firstLine="640"/>
        <w:rPr>
          <w:rFonts w:eastAsia="楷体_GB2312"/>
        </w:rPr>
      </w:pPr>
      <w:bookmarkStart w:id="138" w:name="_Toc13787"/>
      <w:bookmarkStart w:id="139" w:name="_Toc23609"/>
      <w:bookmarkStart w:id="140" w:name="_Toc6121"/>
      <w:bookmarkStart w:id="141" w:name="_Toc2689"/>
      <w:bookmarkStart w:id="142" w:name="_Toc21092"/>
      <w:bookmarkStart w:id="143" w:name="_Toc24075"/>
      <w:bookmarkStart w:id="144" w:name="_Toc4392"/>
      <w:bookmarkStart w:id="145" w:name="_Toc23433"/>
      <w:bookmarkStart w:id="146" w:name="_Toc12018"/>
      <w:r w:rsidRPr="00E53BDD">
        <w:rPr>
          <w:rFonts w:eastAsia="楷体_GB2312"/>
        </w:rPr>
        <w:t>基本原则</w:t>
      </w:r>
      <w:bookmarkEnd w:id="138"/>
      <w:bookmarkEnd w:id="139"/>
      <w:bookmarkEnd w:id="140"/>
      <w:bookmarkEnd w:id="141"/>
      <w:bookmarkEnd w:id="142"/>
      <w:bookmarkEnd w:id="143"/>
      <w:bookmarkEnd w:id="144"/>
      <w:bookmarkEnd w:id="145"/>
      <w:bookmarkEnd w:id="146"/>
    </w:p>
    <w:p w:rsidR="00833E93" w:rsidRPr="00E53BDD" w:rsidRDefault="00E53BDD">
      <w:pPr>
        <w:pStyle w:val="ad"/>
        <w:ind w:firstLine="643"/>
        <w:rPr>
          <w:rFonts w:eastAsia="仿宋_GB2312" w:hint="default"/>
        </w:rPr>
      </w:pPr>
      <w:r w:rsidRPr="00E53BDD">
        <w:rPr>
          <w:rFonts w:eastAsia="仿宋_GB2312" w:hint="default"/>
          <w:b/>
          <w:bCs/>
        </w:rPr>
        <w:t>坚持</w:t>
      </w:r>
      <w:r w:rsidRPr="00E53BDD">
        <w:rPr>
          <w:rFonts w:eastAsia="仿宋_GB2312"/>
          <w:b/>
          <w:bCs/>
        </w:rPr>
        <w:t>改革创新</w:t>
      </w:r>
      <w:r w:rsidRPr="00E53BDD">
        <w:rPr>
          <w:rFonts w:eastAsia="仿宋_GB2312" w:hint="default"/>
          <w:b/>
          <w:bCs/>
        </w:rPr>
        <w:t>。</w:t>
      </w:r>
      <w:r w:rsidRPr="00E53BDD">
        <w:rPr>
          <w:rFonts w:eastAsia="仿宋_GB2312"/>
        </w:rPr>
        <w:t>坚持以改革创新为根本动力，以国家知识产权战略为关键导向，深化知识产权创新与治理机制改革，不断探索和完善符合太仓特色知识产权发展路径，贯彻新发展理念、服务构建新发展格局，推动知识产权事业向好发展。</w:t>
      </w:r>
    </w:p>
    <w:p w:rsidR="00833E93" w:rsidRPr="00E53BDD" w:rsidRDefault="00E53BDD">
      <w:pPr>
        <w:pStyle w:val="ad"/>
        <w:ind w:firstLine="643"/>
        <w:rPr>
          <w:rFonts w:eastAsia="仿宋_GB2312" w:hint="default"/>
        </w:rPr>
      </w:pPr>
      <w:r w:rsidRPr="00E53BDD">
        <w:rPr>
          <w:rFonts w:eastAsia="仿宋_GB2312" w:hint="default"/>
          <w:b/>
          <w:bCs/>
        </w:rPr>
        <w:t>坚持系统协同。</w:t>
      </w:r>
      <w:r w:rsidRPr="00E53BDD">
        <w:rPr>
          <w:rFonts w:eastAsia="仿宋_GB2312" w:hint="default"/>
        </w:rPr>
        <w:t>加强全市知识产权工作统筹谋划、</w:t>
      </w:r>
      <w:proofErr w:type="gramStart"/>
      <w:r w:rsidRPr="00E53BDD">
        <w:rPr>
          <w:rFonts w:eastAsia="仿宋_GB2312"/>
        </w:rPr>
        <w:t>完善部门</w:t>
      </w:r>
      <w:proofErr w:type="gramEnd"/>
      <w:r w:rsidRPr="00E53BDD">
        <w:rPr>
          <w:rFonts w:eastAsia="仿宋_GB2312"/>
        </w:rPr>
        <w:t>协作联动机制</w:t>
      </w:r>
      <w:r w:rsidRPr="00E53BDD">
        <w:rPr>
          <w:rFonts w:eastAsia="仿宋_GB2312" w:hint="default"/>
        </w:rPr>
        <w:t>，强化知识产权资源配置，加强</w:t>
      </w:r>
      <w:r w:rsidRPr="00E53BDD">
        <w:rPr>
          <w:rFonts w:eastAsia="仿宋_GB2312"/>
        </w:rPr>
        <w:t>跨</w:t>
      </w:r>
      <w:r w:rsidRPr="00E53BDD">
        <w:rPr>
          <w:rFonts w:eastAsia="仿宋_GB2312" w:hint="default"/>
        </w:rPr>
        <w:t>区域</w:t>
      </w:r>
      <w:r w:rsidRPr="00E53BDD">
        <w:rPr>
          <w:rFonts w:eastAsia="仿宋_GB2312"/>
        </w:rPr>
        <w:t>知识产权</w:t>
      </w:r>
      <w:r w:rsidRPr="00E53BDD">
        <w:rPr>
          <w:rFonts w:eastAsia="仿宋_GB2312" w:hint="default"/>
        </w:rPr>
        <w:t>合作，</w:t>
      </w:r>
      <w:r w:rsidRPr="00E53BDD">
        <w:rPr>
          <w:rFonts w:eastAsia="仿宋_GB2312"/>
        </w:rPr>
        <w:t>推进公共服务与社会服务共同支撑创新驱动发展，</w:t>
      </w:r>
      <w:r w:rsidRPr="00E53BDD">
        <w:rPr>
          <w:rFonts w:eastAsia="仿宋_GB2312" w:hint="default"/>
        </w:rPr>
        <w:t>促进知识产权</w:t>
      </w:r>
      <w:r w:rsidRPr="00E53BDD">
        <w:rPr>
          <w:rFonts w:eastAsia="仿宋_GB2312"/>
        </w:rPr>
        <w:t>高价值创造、</w:t>
      </w:r>
      <w:r w:rsidRPr="00E53BDD">
        <w:rPr>
          <w:rFonts w:eastAsia="仿宋_GB2312" w:hint="default"/>
        </w:rPr>
        <w:t>高效益运用、高效能管理、</w:t>
      </w:r>
      <w:r w:rsidRPr="00E53BDD">
        <w:rPr>
          <w:rFonts w:eastAsia="仿宋_GB2312"/>
        </w:rPr>
        <w:t>高标准保护、</w:t>
      </w:r>
      <w:r w:rsidRPr="00E53BDD">
        <w:rPr>
          <w:rFonts w:eastAsia="仿宋_GB2312" w:hint="default"/>
        </w:rPr>
        <w:t>高水平服务，全方位护航</w:t>
      </w:r>
      <w:r w:rsidRPr="00E53BDD">
        <w:rPr>
          <w:rFonts w:eastAsia="仿宋_GB2312"/>
        </w:rPr>
        <w:t>社会经济</w:t>
      </w:r>
      <w:r w:rsidRPr="00E53BDD">
        <w:rPr>
          <w:rFonts w:eastAsia="仿宋_GB2312" w:hint="default"/>
        </w:rPr>
        <w:t>高质量发展。</w:t>
      </w:r>
    </w:p>
    <w:p w:rsidR="00833E93" w:rsidRPr="00E53BDD" w:rsidRDefault="00E53BDD">
      <w:pPr>
        <w:pStyle w:val="ad"/>
        <w:ind w:firstLine="643"/>
        <w:rPr>
          <w:rFonts w:eastAsia="仿宋_GB2312" w:hint="default"/>
        </w:rPr>
      </w:pPr>
      <w:r w:rsidRPr="00E53BDD">
        <w:rPr>
          <w:rFonts w:eastAsia="仿宋_GB2312" w:hint="default"/>
          <w:b/>
          <w:bCs/>
        </w:rPr>
        <w:t>坚持</w:t>
      </w:r>
      <w:r w:rsidRPr="00E53BDD">
        <w:rPr>
          <w:rFonts w:eastAsia="仿宋_GB2312"/>
          <w:b/>
          <w:bCs/>
        </w:rPr>
        <w:t>量质并重。</w:t>
      </w:r>
      <w:r w:rsidRPr="00E53BDD">
        <w:rPr>
          <w:rFonts w:eastAsia="仿宋_GB2312" w:hint="default"/>
        </w:rPr>
        <w:t>加快太仓优势主导产业、战略性新兴产业关键领域知识产权布局</w:t>
      </w:r>
      <w:r w:rsidRPr="00E53BDD">
        <w:rPr>
          <w:rFonts w:eastAsia="仿宋_GB2312"/>
        </w:rPr>
        <w:t>，坚持需求导向，突出企业主体地位，鼓励创新主体自主研发、生产，实现知识产权创造量质齐升，</w:t>
      </w:r>
      <w:r w:rsidRPr="00E53BDD">
        <w:rPr>
          <w:rFonts w:eastAsia="仿宋_GB2312" w:hint="default"/>
        </w:rPr>
        <w:t>推动技术、资本、人才、政策等创新要素支撑知识产权事业发展</w:t>
      </w:r>
      <w:r w:rsidRPr="00E53BDD">
        <w:rPr>
          <w:rFonts w:eastAsia="仿宋_GB2312"/>
        </w:rPr>
        <w:t>，塑造知识产权引领创新发展新优势。</w:t>
      </w:r>
    </w:p>
    <w:p w:rsidR="00833E93" w:rsidRPr="00E53BDD" w:rsidRDefault="00E53BDD">
      <w:pPr>
        <w:pStyle w:val="2"/>
        <w:ind w:firstLine="640"/>
        <w:rPr>
          <w:rFonts w:eastAsia="楷体_GB2312"/>
        </w:rPr>
      </w:pPr>
      <w:bookmarkStart w:id="147" w:name="_Toc5331"/>
      <w:bookmarkStart w:id="148" w:name="_Toc15801"/>
      <w:bookmarkStart w:id="149" w:name="_Toc13031"/>
      <w:bookmarkStart w:id="150" w:name="_Toc793"/>
      <w:bookmarkStart w:id="151" w:name="_Toc15641"/>
      <w:bookmarkStart w:id="152" w:name="_Toc22435"/>
      <w:bookmarkStart w:id="153" w:name="_Toc11988"/>
      <w:bookmarkStart w:id="154" w:name="_Toc27103"/>
      <w:bookmarkStart w:id="155" w:name="_Toc26293"/>
      <w:r w:rsidRPr="00E53BDD">
        <w:rPr>
          <w:rFonts w:eastAsia="楷体_GB2312" w:hint="eastAsia"/>
        </w:rPr>
        <w:t>发展目标</w:t>
      </w:r>
      <w:bookmarkEnd w:id="147"/>
      <w:bookmarkEnd w:id="148"/>
      <w:bookmarkEnd w:id="149"/>
      <w:bookmarkEnd w:id="150"/>
      <w:bookmarkEnd w:id="151"/>
      <w:bookmarkEnd w:id="152"/>
      <w:bookmarkEnd w:id="153"/>
      <w:bookmarkEnd w:id="154"/>
      <w:bookmarkEnd w:id="155"/>
    </w:p>
    <w:p w:rsidR="00833E93" w:rsidRPr="00E53BDD" w:rsidRDefault="00E53BDD">
      <w:pPr>
        <w:pStyle w:val="ad"/>
        <w:ind w:firstLine="640"/>
        <w:rPr>
          <w:rFonts w:eastAsia="仿宋_GB2312" w:hint="default"/>
        </w:rPr>
      </w:pPr>
      <w:r w:rsidRPr="00E53BDD">
        <w:rPr>
          <w:rFonts w:eastAsia="仿宋_GB2312"/>
        </w:rPr>
        <w:t>到</w:t>
      </w:r>
      <w:r w:rsidRPr="00E53BDD">
        <w:rPr>
          <w:rFonts w:eastAsia="仿宋_GB2312"/>
        </w:rPr>
        <w:t>2025</w:t>
      </w:r>
      <w:r w:rsidRPr="00E53BDD">
        <w:rPr>
          <w:rFonts w:eastAsia="仿宋_GB2312"/>
        </w:rPr>
        <w:t>年，知识产权综合实力居于全国县级城市领先行列，建成综合实力突出的江苏知识产权强省建设区域示范。促进</w:t>
      </w:r>
      <w:r w:rsidRPr="00E53BDD">
        <w:rPr>
          <w:rFonts w:eastAsia="仿宋_GB2312" w:hint="default"/>
        </w:rPr>
        <w:t>知识产权</w:t>
      </w:r>
      <w:r w:rsidRPr="00E53BDD">
        <w:rPr>
          <w:rFonts w:eastAsia="仿宋_GB2312"/>
        </w:rPr>
        <w:t>高价值创造、</w:t>
      </w:r>
      <w:r w:rsidRPr="00E53BDD">
        <w:rPr>
          <w:rFonts w:eastAsia="仿宋_GB2312" w:hint="default"/>
        </w:rPr>
        <w:t>高效益运用、高效能管理、</w:t>
      </w:r>
      <w:r w:rsidRPr="00E53BDD">
        <w:rPr>
          <w:rFonts w:eastAsia="仿宋_GB2312"/>
        </w:rPr>
        <w:t>高标准保护、</w:t>
      </w:r>
      <w:r w:rsidRPr="00E53BDD">
        <w:rPr>
          <w:rFonts w:eastAsia="仿宋_GB2312" w:hint="default"/>
        </w:rPr>
        <w:t>高水平服务，</w:t>
      </w:r>
      <w:r w:rsidRPr="00E53BDD">
        <w:rPr>
          <w:rFonts w:eastAsia="仿宋_GB2312"/>
        </w:rPr>
        <w:t>致力于实现知识产权治理体系更加完备、要素更加集聚、运用更加高效、保护更加严格、服务更加完善、人才更加</w:t>
      </w:r>
      <w:proofErr w:type="gramStart"/>
      <w:r w:rsidRPr="00E53BDD">
        <w:rPr>
          <w:rFonts w:eastAsia="仿宋_GB2312"/>
        </w:rPr>
        <w:t>齐备六</w:t>
      </w:r>
      <w:proofErr w:type="gramEnd"/>
      <w:r w:rsidRPr="00E53BDD">
        <w:rPr>
          <w:rFonts w:eastAsia="仿宋_GB2312"/>
        </w:rPr>
        <w:t>大发展目标，全面发挥知识产权支撑创新驱动发展作用。</w:t>
      </w:r>
    </w:p>
    <w:p w:rsidR="00833E93" w:rsidRPr="00E53BDD" w:rsidRDefault="00E53BDD">
      <w:pPr>
        <w:spacing w:line="560" w:lineRule="exact"/>
        <w:ind w:firstLine="643"/>
        <w:rPr>
          <w:rFonts w:ascii="仿宋" w:eastAsia="仿宋_GB2312" w:hAnsi="仿宋" w:cs="仿宋"/>
          <w:sz w:val="32"/>
          <w:szCs w:val="32"/>
        </w:rPr>
      </w:pPr>
      <w:r w:rsidRPr="00E53BDD">
        <w:rPr>
          <w:rFonts w:ascii="仿宋" w:eastAsia="仿宋_GB2312" w:hAnsi="仿宋" w:cs="仿宋" w:hint="eastAsia"/>
          <w:b/>
          <w:bCs/>
          <w:sz w:val="32"/>
          <w:szCs w:val="32"/>
        </w:rPr>
        <w:t>——知识产权治理体系更加完备。</w:t>
      </w:r>
      <w:r w:rsidRPr="00E53BDD">
        <w:rPr>
          <w:rFonts w:ascii="仿宋" w:eastAsia="仿宋_GB2312" w:hAnsi="仿宋" w:cs="仿宋" w:hint="eastAsia"/>
          <w:sz w:val="32"/>
          <w:szCs w:val="32"/>
        </w:rPr>
        <w:t>系统谋划知识产权工作布局，完善知识产权联席会议制度，推进区镇知识产权执法体制改革，探索知识产权治理与数字化、网络化、智能化深度融合。</w:t>
      </w:r>
    </w:p>
    <w:p w:rsidR="00833E93" w:rsidRPr="00E53BDD" w:rsidRDefault="00E53BDD">
      <w:pPr>
        <w:spacing w:line="560" w:lineRule="exact"/>
        <w:ind w:firstLine="643"/>
        <w:rPr>
          <w:rFonts w:ascii="仿宋" w:eastAsia="仿宋_GB2312" w:hAnsi="仿宋" w:cs="Times New Roman"/>
          <w:sz w:val="32"/>
          <w:szCs w:val="32"/>
        </w:rPr>
      </w:pPr>
      <w:r w:rsidRPr="00E53BDD">
        <w:rPr>
          <w:rFonts w:ascii="仿宋" w:eastAsia="仿宋_GB2312" w:hAnsi="仿宋" w:cs="仿宋" w:hint="eastAsia"/>
          <w:b/>
          <w:bCs/>
          <w:sz w:val="32"/>
          <w:szCs w:val="32"/>
        </w:rPr>
        <w:t>——知识产权要素更加集聚。</w:t>
      </w:r>
      <w:r w:rsidRPr="00E53BDD">
        <w:rPr>
          <w:rFonts w:ascii="仿宋" w:eastAsia="仿宋_GB2312" w:hAnsi="仿宋" w:cs="仿宋" w:hint="eastAsia"/>
          <w:sz w:val="32"/>
          <w:szCs w:val="32"/>
        </w:rPr>
        <w:t>至</w:t>
      </w:r>
      <w:r w:rsidRPr="00E53BDD">
        <w:rPr>
          <w:rFonts w:ascii="仿宋" w:eastAsia="仿宋_GB2312" w:hAnsi="仿宋" w:cs="仿宋" w:hint="eastAsia"/>
          <w:sz w:val="32"/>
          <w:szCs w:val="32"/>
        </w:rPr>
        <w:t>2025</w:t>
      </w:r>
      <w:r w:rsidRPr="00E53BDD">
        <w:rPr>
          <w:rFonts w:ascii="仿宋" w:eastAsia="仿宋_GB2312" w:hAnsi="仿宋" w:cs="仿宋" w:hint="eastAsia"/>
          <w:sz w:val="32"/>
          <w:szCs w:val="32"/>
        </w:rPr>
        <w:t>年底，</w:t>
      </w:r>
      <w:r w:rsidRPr="00E53BDD">
        <w:rPr>
          <w:rFonts w:ascii="仿宋" w:eastAsia="仿宋_GB2312" w:hAnsi="仿宋" w:cs="Times New Roman" w:hint="eastAsia"/>
          <w:sz w:val="32"/>
          <w:szCs w:val="32"/>
        </w:rPr>
        <w:t>全市拥有高价值发明专利</w:t>
      </w:r>
      <w:r w:rsidRPr="00E53BDD">
        <w:rPr>
          <w:rFonts w:ascii="仿宋" w:eastAsia="仿宋_GB2312" w:hAnsi="仿宋" w:cs="Times New Roman" w:hint="eastAsia"/>
          <w:sz w:val="32"/>
          <w:szCs w:val="32"/>
        </w:rPr>
        <w:t>2600</w:t>
      </w:r>
      <w:r w:rsidRPr="00E53BDD">
        <w:rPr>
          <w:rFonts w:ascii="仿宋" w:eastAsia="仿宋_GB2312" w:hAnsi="仿宋" w:cs="Times New Roman" w:hint="eastAsia"/>
          <w:sz w:val="32"/>
          <w:szCs w:val="32"/>
        </w:rPr>
        <w:t>件以上，</w:t>
      </w:r>
      <w:r w:rsidRPr="00E53BDD">
        <w:rPr>
          <w:rFonts w:ascii="仿宋" w:eastAsia="仿宋_GB2312" w:hAnsi="仿宋" w:hint="eastAsia"/>
          <w:sz w:val="32"/>
          <w:szCs w:val="32"/>
        </w:rPr>
        <w:t>万人有效发明专利拥有量超</w:t>
      </w:r>
      <w:r w:rsidRPr="00E53BDD">
        <w:rPr>
          <w:rFonts w:ascii="仿宋" w:eastAsia="仿宋_GB2312" w:hAnsi="仿宋" w:hint="eastAsia"/>
          <w:sz w:val="32"/>
          <w:szCs w:val="32"/>
        </w:rPr>
        <w:t>80</w:t>
      </w:r>
      <w:r w:rsidRPr="00E53BDD">
        <w:rPr>
          <w:rFonts w:ascii="仿宋" w:eastAsia="仿宋_GB2312" w:hAnsi="仿宋" w:hint="eastAsia"/>
          <w:sz w:val="32"/>
          <w:szCs w:val="32"/>
        </w:rPr>
        <w:t>件</w:t>
      </w:r>
      <w:r w:rsidRPr="00E53BDD">
        <w:rPr>
          <w:rFonts w:ascii="仿宋" w:eastAsia="仿宋_GB2312" w:hAnsi="仿宋" w:cs="Times New Roman" w:hint="eastAsia"/>
          <w:sz w:val="32"/>
          <w:szCs w:val="32"/>
        </w:rPr>
        <w:t>，万人高价值发明专利达</w:t>
      </w:r>
      <w:r w:rsidRPr="00E53BDD">
        <w:rPr>
          <w:rFonts w:ascii="仿宋" w:eastAsia="仿宋_GB2312" w:hAnsi="仿宋" w:cs="Times New Roman" w:hint="eastAsia"/>
          <w:sz w:val="32"/>
          <w:szCs w:val="32"/>
        </w:rPr>
        <w:t>40</w:t>
      </w:r>
      <w:r w:rsidRPr="00E53BDD">
        <w:rPr>
          <w:rFonts w:ascii="仿宋" w:eastAsia="仿宋_GB2312" w:hAnsi="仿宋" w:cs="Times New Roman" w:hint="eastAsia"/>
          <w:sz w:val="32"/>
          <w:szCs w:val="32"/>
        </w:rPr>
        <w:t>件，新增海外发明授权量</w:t>
      </w:r>
      <w:r w:rsidRPr="00E53BDD">
        <w:rPr>
          <w:rFonts w:ascii="仿宋" w:eastAsia="仿宋_GB2312" w:hAnsi="仿宋" w:cs="Times New Roman" w:hint="eastAsia"/>
          <w:sz w:val="32"/>
          <w:szCs w:val="32"/>
        </w:rPr>
        <w:t>200</w:t>
      </w:r>
      <w:r w:rsidRPr="00E53BDD">
        <w:rPr>
          <w:rFonts w:ascii="仿宋" w:eastAsia="仿宋_GB2312" w:hAnsi="仿宋" w:cs="Times New Roman" w:hint="eastAsia"/>
          <w:sz w:val="32"/>
          <w:szCs w:val="32"/>
        </w:rPr>
        <w:t>件，企业通过专利快速预审申请专利达</w:t>
      </w:r>
      <w:r w:rsidRPr="00E53BDD">
        <w:rPr>
          <w:rFonts w:ascii="仿宋" w:eastAsia="仿宋_GB2312" w:hAnsi="仿宋" w:cs="Times New Roman" w:hint="eastAsia"/>
          <w:sz w:val="32"/>
          <w:szCs w:val="32"/>
        </w:rPr>
        <w:t>200</w:t>
      </w:r>
      <w:r w:rsidRPr="00E53BDD">
        <w:rPr>
          <w:rFonts w:ascii="仿宋" w:eastAsia="仿宋_GB2312" w:hAnsi="仿宋" w:cs="Times New Roman" w:hint="eastAsia"/>
          <w:sz w:val="32"/>
          <w:szCs w:val="32"/>
        </w:rPr>
        <w:t>件。</w:t>
      </w:r>
      <w:r w:rsidRPr="00E53BDD">
        <w:rPr>
          <w:rFonts w:ascii="仿宋" w:eastAsia="仿宋_GB2312" w:hAnsi="仿宋" w:hint="eastAsia"/>
          <w:sz w:val="32"/>
          <w:szCs w:val="32"/>
        </w:rPr>
        <w:t>加强商标品牌建设，“十四五”期间，</w:t>
      </w:r>
      <w:r w:rsidRPr="00E53BDD">
        <w:rPr>
          <w:rFonts w:ascii="仿宋" w:eastAsia="仿宋_GB2312" w:hAnsi="仿宋" w:cs="Times New Roman" w:hint="eastAsia"/>
          <w:sz w:val="32"/>
          <w:szCs w:val="32"/>
        </w:rPr>
        <w:t>累计马德里商标注册量达</w:t>
      </w:r>
      <w:r w:rsidRPr="00E53BDD">
        <w:rPr>
          <w:rFonts w:ascii="仿宋" w:eastAsia="仿宋_GB2312" w:hAnsi="仿宋" w:cs="Times New Roman" w:hint="eastAsia"/>
          <w:sz w:val="32"/>
          <w:szCs w:val="32"/>
        </w:rPr>
        <w:t>150</w:t>
      </w:r>
      <w:r w:rsidRPr="00E53BDD">
        <w:rPr>
          <w:rFonts w:ascii="仿宋" w:eastAsia="仿宋_GB2312" w:hAnsi="仿宋" w:cs="Times New Roman" w:hint="eastAsia"/>
          <w:sz w:val="32"/>
          <w:szCs w:val="32"/>
        </w:rPr>
        <w:t>件。新增一般作品著作权登记量达</w:t>
      </w:r>
      <w:r w:rsidRPr="00E53BDD">
        <w:rPr>
          <w:rFonts w:ascii="仿宋" w:eastAsia="仿宋_GB2312" w:hAnsi="仿宋" w:cs="Times New Roman" w:hint="eastAsia"/>
          <w:sz w:val="32"/>
          <w:szCs w:val="32"/>
        </w:rPr>
        <w:t>5000</w:t>
      </w:r>
      <w:r w:rsidRPr="00E53BDD">
        <w:rPr>
          <w:rFonts w:ascii="仿宋" w:eastAsia="仿宋_GB2312" w:hAnsi="仿宋" w:cs="Times New Roman" w:hint="eastAsia"/>
          <w:sz w:val="32"/>
          <w:szCs w:val="32"/>
        </w:rPr>
        <w:t>件。</w:t>
      </w:r>
    </w:p>
    <w:p w:rsidR="00833E93" w:rsidRPr="00E53BDD" w:rsidRDefault="00E53BDD">
      <w:pPr>
        <w:spacing w:line="560" w:lineRule="exact"/>
        <w:ind w:firstLine="643"/>
        <w:rPr>
          <w:rFonts w:ascii="仿宋" w:eastAsia="仿宋_GB2312" w:hAnsi="仿宋" w:cs="Times New Roman"/>
          <w:sz w:val="32"/>
          <w:szCs w:val="32"/>
        </w:rPr>
      </w:pPr>
      <w:r w:rsidRPr="00E53BDD">
        <w:rPr>
          <w:rFonts w:ascii="仿宋" w:eastAsia="仿宋_GB2312" w:hAnsi="仿宋" w:cs="仿宋" w:hint="eastAsia"/>
          <w:b/>
          <w:bCs/>
          <w:sz w:val="32"/>
          <w:szCs w:val="32"/>
        </w:rPr>
        <w:t>——知识产权运用更加高效。</w:t>
      </w:r>
      <w:r w:rsidRPr="00E53BDD">
        <w:rPr>
          <w:rFonts w:ascii="仿宋" w:eastAsia="仿宋_GB2312" w:hAnsi="仿宋" w:cs="仿宋" w:hint="eastAsia"/>
          <w:sz w:val="32"/>
          <w:szCs w:val="32"/>
        </w:rPr>
        <w:t>至</w:t>
      </w:r>
      <w:r w:rsidRPr="00E53BDD">
        <w:rPr>
          <w:rFonts w:ascii="仿宋" w:eastAsia="仿宋_GB2312" w:hAnsi="仿宋" w:cs="仿宋" w:hint="eastAsia"/>
          <w:sz w:val="32"/>
          <w:szCs w:val="32"/>
        </w:rPr>
        <w:t>2025</w:t>
      </w:r>
      <w:r w:rsidRPr="00E53BDD">
        <w:rPr>
          <w:rFonts w:ascii="仿宋" w:eastAsia="仿宋_GB2312" w:hAnsi="仿宋" w:cs="仿宋" w:hint="eastAsia"/>
          <w:sz w:val="32"/>
          <w:szCs w:val="32"/>
        </w:rPr>
        <w:t>年底，培育</w:t>
      </w:r>
      <w:r w:rsidRPr="00E53BDD">
        <w:rPr>
          <w:rFonts w:ascii="仿宋" w:eastAsia="仿宋_GB2312" w:hAnsi="仿宋" w:cs="Times New Roman" w:hint="eastAsia"/>
          <w:sz w:val="32"/>
          <w:szCs w:val="32"/>
        </w:rPr>
        <w:t>知识产权密集型企业</w:t>
      </w:r>
      <w:r w:rsidRPr="00E53BDD">
        <w:rPr>
          <w:rFonts w:ascii="仿宋" w:eastAsia="仿宋_GB2312" w:hAnsi="仿宋" w:cs="Times New Roman" w:hint="eastAsia"/>
          <w:sz w:val="32"/>
          <w:szCs w:val="32"/>
        </w:rPr>
        <w:t>350</w:t>
      </w:r>
      <w:r w:rsidRPr="00E53BDD">
        <w:rPr>
          <w:rFonts w:ascii="仿宋" w:eastAsia="仿宋_GB2312" w:hAnsi="仿宋" w:cs="Times New Roman" w:hint="eastAsia"/>
          <w:sz w:val="32"/>
          <w:szCs w:val="32"/>
        </w:rPr>
        <w:t>家</w:t>
      </w:r>
      <w:r w:rsidRPr="00E53BDD">
        <w:rPr>
          <w:rFonts w:ascii="仿宋" w:eastAsia="仿宋_GB2312" w:hAnsi="仿宋" w:cs="仿宋" w:hint="eastAsia"/>
          <w:sz w:val="32"/>
          <w:szCs w:val="32"/>
        </w:rPr>
        <w:t>以上</w:t>
      </w:r>
      <w:r w:rsidRPr="00E53BDD">
        <w:rPr>
          <w:rFonts w:ascii="仿宋" w:eastAsia="仿宋_GB2312" w:hAnsi="仿宋" w:hint="eastAsia"/>
          <w:sz w:val="32"/>
          <w:szCs w:val="32"/>
        </w:rPr>
        <w:t>，累计知识产权示范优势企业达</w:t>
      </w:r>
      <w:r w:rsidRPr="00E53BDD">
        <w:rPr>
          <w:rFonts w:ascii="仿宋" w:eastAsia="仿宋_GB2312" w:hAnsi="仿宋" w:hint="eastAsia"/>
          <w:sz w:val="32"/>
          <w:szCs w:val="32"/>
        </w:rPr>
        <w:t>25</w:t>
      </w:r>
      <w:r w:rsidRPr="00E53BDD">
        <w:rPr>
          <w:rFonts w:ascii="仿宋" w:eastAsia="仿宋_GB2312" w:hAnsi="仿宋" w:hint="eastAsia"/>
          <w:sz w:val="32"/>
          <w:szCs w:val="32"/>
        </w:rPr>
        <w:t>家，新增知识产权贯标企事业单位</w:t>
      </w:r>
      <w:r w:rsidRPr="00E53BDD">
        <w:rPr>
          <w:rFonts w:ascii="仿宋" w:eastAsia="仿宋_GB2312" w:hAnsi="仿宋" w:hint="eastAsia"/>
          <w:sz w:val="32"/>
          <w:szCs w:val="32"/>
        </w:rPr>
        <w:t>100</w:t>
      </w:r>
      <w:r w:rsidRPr="00E53BDD">
        <w:rPr>
          <w:rFonts w:ascii="仿宋" w:eastAsia="仿宋_GB2312" w:hAnsi="仿宋" w:hint="eastAsia"/>
          <w:sz w:val="32"/>
          <w:szCs w:val="32"/>
        </w:rPr>
        <w:t>家，累计苏州市</w:t>
      </w:r>
      <w:proofErr w:type="gramStart"/>
      <w:r w:rsidRPr="00E53BDD">
        <w:rPr>
          <w:rFonts w:ascii="仿宋" w:eastAsia="仿宋_GB2312" w:hAnsi="仿宋" w:hint="eastAsia"/>
          <w:sz w:val="32"/>
          <w:szCs w:val="32"/>
        </w:rPr>
        <w:t>知识产权强企培育</w:t>
      </w:r>
      <w:proofErr w:type="gramEnd"/>
      <w:r w:rsidRPr="00E53BDD">
        <w:rPr>
          <w:rFonts w:ascii="仿宋" w:eastAsia="仿宋_GB2312" w:hAnsi="仿宋" w:hint="eastAsia"/>
          <w:sz w:val="32"/>
          <w:szCs w:val="32"/>
        </w:rPr>
        <w:t>工程入库企业</w:t>
      </w:r>
      <w:r w:rsidRPr="00E53BDD">
        <w:rPr>
          <w:rFonts w:ascii="仿宋" w:eastAsia="仿宋_GB2312" w:hAnsi="仿宋" w:hint="eastAsia"/>
          <w:sz w:val="32"/>
          <w:szCs w:val="32"/>
        </w:rPr>
        <w:t>100</w:t>
      </w:r>
      <w:r w:rsidRPr="00E53BDD">
        <w:rPr>
          <w:rFonts w:ascii="仿宋" w:eastAsia="仿宋_GB2312" w:hAnsi="仿宋" w:hint="eastAsia"/>
          <w:sz w:val="32"/>
          <w:szCs w:val="32"/>
        </w:rPr>
        <w:t>家，全市重点产业知识产权实力显著提升。加快地理标志培育，实现新突破。促进知识产权转化运用，“十四五”期间，</w:t>
      </w:r>
      <w:r w:rsidRPr="00E53BDD">
        <w:rPr>
          <w:rFonts w:ascii="仿宋" w:eastAsia="仿宋_GB2312" w:hAnsi="仿宋" w:cs="Times New Roman" w:hint="eastAsia"/>
          <w:sz w:val="32"/>
          <w:szCs w:val="32"/>
        </w:rPr>
        <w:t>知识产权服务业营业收入超</w:t>
      </w:r>
      <w:r w:rsidRPr="00E53BDD">
        <w:rPr>
          <w:rFonts w:ascii="仿宋" w:eastAsia="仿宋_GB2312" w:hAnsi="仿宋" w:cs="Times New Roman" w:hint="eastAsia"/>
          <w:sz w:val="32"/>
          <w:szCs w:val="32"/>
        </w:rPr>
        <w:t>2</w:t>
      </w:r>
      <w:r w:rsidRPr="00E53BDD">
        <w:rPr>
          <w:rFonts w:ascii="仿宋" w:eastAsia="仿宋_GB2312" w:hAnsi="仿宋" w:cs="Times New Roman" w:hint="eastAsia"/>
          <w:sz w:val="32"/>
          <w:szCs w:val="32"/>
        </w:rPr>
        <w:t>亿元，知识产权质押融资登记金额达</w:t>
      </w:r>
      <w:r w:rsidRPr="00E53BDD">
        <w:rPr>
          <w:rFonts w:ascii="仿宋" w:eastAsia="仿宋_GB2312" w:hAnsi="仿宋" w:cs="Times New Roman" w:hint="eastAsia"/>
          <w:sz w:val="32"/>
          <w:szCs w:val="32"/>
        </w:rPr>
        <w:t>15</w:t>
      </w:r>
      <w:r w:rsidRPr="00E53BDD">
        <w:rPr>
          <w:rFonts w:ascii="仿宋" w:eastAsia="仿宋_GB2312" w:hAnsi="仿宋" w:cs="Times New Roman" w:hint="eastAsia"/>
          <w:sz w:val="32"/>
          <w:szCs w:val="32"/>
        </w:rPr>
        <w:t>亿元。</w:t>
      </w:r>
    </w:p>
    <w:p w:rsidR="00833E93" w:rsidRDefault="00E53BDD">
      <w:pPr>
        <w:spacing w:line="560" w:lineRule="exact"/>
        <w:ind w:firstLine="643"/>
      </w:pPr>
      <w:r w:rsidRPr="00E53BDD">
        <w:rPr>
          <w:rFonts w:ascii="仿宋" w:eastAsia="仿宋_GB2312" w:hAnsi="仿宋" w:cs="仿宋" w:hint="eastAsia"/>
          <w:b/>
          <w:bCs/>
          <w:sz w:val="32"/>
          <w:szCs w:val="32"/>
        </w:rPr>
        <w:t>——知识产权保护更加严格。</w:t>
      </w:r>
      <w:r w:rsidRPr="00E53BDD">
        <w:rPr>
          <w:rFonts w:ascii="仿宋" w:eastAsia="仿宋_GB2312" w:hAnsi="仿宋" w:hint="eastAsia"/>
          <w:sz w:val="32"/>
          <w:szCs w:val="32"/>
        </w:rPr>
        <w:t>完善知识产权保护体系，知识产权行政执法、司法案件办理效率和质量明显提升，知识产权民事一审案件服判息诉率达到</w:t>
      </w:r>
      <w:r w:rsidRPr="00E53BDD">
        <w:rPr>
          <w:rFonts w:ascii="仿宋" w:eastAsia="仿宋_GB2312" w:hAnsi="仿宋" w:hint="eastAsia"/>
          <w:sz w:val="32"/>
          <w:szCs w:val="32"/>
        </w:rPr>
        <w:t>93%</w:t>
      </w:r>
      <w:r w:rsidRPr="00E53BDD">
        <w:rPr>
          <w:rFonts w:ascii="仿宋" w:eastAsia="仿宋_GB2312" w:hAnsi="仿宋" w:hint="eastAsia"/>
          <w:sz w:val="32"/>
          <w:szCs w:val="32"/>
        </w:rPr>
        <w:t>，知识产权保护社会满意度达</w:t>
      </w:r>
      <w:r w:rsidRPr="00E53BDD">
        <w:rPr>
          <w:rFonts w:ascii="仿宋" w:eastAsia="仿宋_GB2312" w:hAnsi="仿宋" w:hint="eastAsia"/>
          <w:sz w:val="32"/>
          <w:szCs w:val="32"/>
        </w:rPr>
        <w:t>85</w:t>
      </w:r>
      <w:r w:rsidRPr="00E53BDD">
        <w:rPr>
          <w:rFonts w:ascii="仿宋" w:eastAsia="仿宋_GB2312" w:hAnsi="仿宋" w:hint="eastAsia"/>
          <w:sz w:val="32"/>
          <w:szCs w:val="32"/>
        </w:rPr>
        <w:t>分以上。加强商标品牌保护，促进太仓市商标品牌发展。增加知识产权保护（维权）机构</w:t>
      </w:r>
      <w:r w:rsidRPr="00E53BDD">
        <w:rPr>
          <w:rFonts w:ascii="仿宋" w:eastAsia="仿宋_GB2312" w:hAnsi="仿宋" w:hint="eastAsia"/>
          <w:sz w:val="32"/>
          <w:szCs w:val="32"/>
        </w:rPr>
        <w:t>1-2</w:t>
      </w:r>
      <w:r w:rsidRPr="00E53BDD">
        <w:rPr>
          <w:rFonts w:ascii="仿宋" w:eastAsia="仿宋_GB2312" w:hAnsi="仿宋" w:hint="eastAsia"/>
          <w:sz w:val="32"/>
          <w:szCs w:val="32"/>
        </w:rPr>
        <w:t>个，提升企业知识产权海外维权能力。</w:t>
      </w:r>
    </w:p>
    <w:p w:rsidR="00833E93" w:rsidRPr="00E53BDD" w:rsidRDefault="00E53BDD">
      <w:pPr>
        <w:spacing w:line="560" w:lineRule="exact"/>
        <w:ind w:firstLine="643"/>
        <w:rPr>
          <w:rFonts w:ascii="仿宋" w:eastAsia="仿宋_GB2312" w:hAnsi="仿宋"/>
          <w:sz w:val="32"/>
          <w:szCs w:val="32"/>
        </w:rPr>
      </w:pPr>
      <w:r>
        <w:rPr>
          <w:rFonts w:ascii="黑体" w:eastAsia="黑体" w:hAnsi="黑体" w:cs="楷体" w:hint="eastAsia"/>
          <w:b/>
          <w:sz w:val="32"/>
          <w:szCs w:val="32"/>
        </w:rPr>
        <w:t>——</w:t>
      </w:r>
      <w:r w:rsidRPr="00E53BDD">
        <w:rPr>
          <w:rFonts w:ascii="仿宋" w:eastAsia="仿宋_GB2312" w:hAnsi="仿宋" w:hint="eastAsia"/>
          <w:b/>
          <w:sz w:val="32"/>
          <w:szCs w:val="32"/>
        </w:rPr>
        <w:t>知识产权服务更加完善。</w:t>
      </w:r>
      <w:r w:rsidRPr="00E53BDD">
        <w:rPr>
          <w:rFonts w:ascii="仿宋" w:eastAsia="仿宋_GB2312" w:hAnsi="仿宋" w:hint="eastAsia"/>
          <w:sz w:val="32"/>
          <w:szCs w:val="32"/>
        </w:rPr>
        <w:t>培育一批专业化知识产权从业人员，引进和培育全链条知识产权服务机构，改善知识产权服务大环境。知识产权服务机构从业人员超</w:t>
      </w:r>
      <w:r w:rsidRPr="00E53BDD">
        <w:rPr>
          <w:rFonts w:ascii="仿宋" w:eastAsia="仿宋_GB2312" w:hAnsi="仿宋" w:hint="eastAsia"/>
          <w:sz w:val="32"/>
          <w:szCs w:val="32"/>
        </w:rPr>
        <w:t>1000</w:t>
      </w:r>
      <w:r w:rsidRPr="00E53BDD">
        <w:rPr>
          <w:rFonts w:ascii="仿宋" w:eastAsia="仿宋_GB2312" w:hAnsi="仿宋" w:hint="eastAsia"/>
          <w:sz w:val="32"/>
          <w:szCs w:val="32"/>
        </w:rPr>
        <w:t>人，建设知识产权公共服务平台</w:t>
      </w:r>
      <w:r w:rsidRPr="00E53BDD">
        <w:rPr>
          <w:rFonts w:ascii="仿宋" w:eastAsia="仿宋_GB2312" w:hAnsi="仿宋" w:hint="eastAsia"/>
          <w:sz w:val="32"/>
          <w:szCs w:val="32"/>
        </w:rPr>
        <w:t>3</w:t>
      </w:r>
      <w:r w:rsidRPr="00E53BDD">
        <w:rPr>
          <w:rFonts w:ascii="仿宋" w:eastAsia="仿宋_GB2312" w:hAnsi="仿宋" w:hint="eastAsia"/>
          <w:sz w:val="32"/>
          <w:szCs w:val="32"/>
        </w:rPr>
        <w:t>个。</w:t>
      </w:r>
    </w:p>
    <w:p w:rsidR="00833E93" w:rsidRPr="00E53BDD" w:rsidRDefault="00E53BDD">
      <w:pPr>
        <w:pStyle w:val="ad"/>
        <w:ind w:firstLine="643"/>
        <w:rPr>
          <w:rFonts w:ascii="仿宋" w:eastAsia="仿宋_GB2312" w:hAnsi="仿宋" w:hint="default"/>
        </w:rPr>
      </w:pPr>
      <w:r>
        <w:rPr>
          <w:rFonts w:ascii="黑体" w:eastAsia="黑体" w:hAnsi="黑体" w:cs="楷体"/>
          <w:b/>
        </w:rPr>
        <w:t>——</w:t>
      </w:r>
      <w:r w:rsidRPr="00E53BDD">
        <w:rPr>
          <w:rFonts w:ascii="仿宋" w:eastAsia="仿宋_GB2312" w:hAnsi="仿宋"/>
          <w:b/>
        </w:rPr>
        <w:t>知识产权人才更加齐备。</w:t>
      </w:r>
      <w:r w:rsidRPr="00E53BDD">
        <w:rPr>
          <w:rFonts w:ascii="仿宋" w:eastAsia="仿宋_GB2312" w:hAnsi="仿宋"/>
        </w:rPr>
        <w:t>激发知识产权人才创新活力，加强知识产权人才体系与能力建设。新增知识产权高层次人才</w:t>
      </w:r>
      <w:r w:rsidRPr="00E53BDD">
        <w:rPr>
          <w:rFonts w:ascii="仿宋" w:eastAsia="仿宋_GB2312" w:hAnsi="仿宋"/>
        </w:rPr>
        <w:t>15</w:t>
      </w:r>
      <w:r w:rsidRPr="00E53BDD">
        <w:rPr>
          <w:rFonts w:ascii="仿宋" w:eastAsia="仿宋_GB2312" w:hAnsi="仿宋"/>
        </w:rPr>
        <w:t>人，新增</w:t>
      </w:r>
      <w:r>
        <w:rPr>
          <w:rFonts w:eastAsia="仿宋_GB2312"/>
          <w:kern w:val="0"/>
          <w:lang w:val="zh-CN"/>
        </w:rPr>
        <w:t>太仓科技领军人才</w:t>
      </w:r>
      <w:r>
        <w:rPr>
          <w:rFonts w:eastAsia="仿宋_GB2312"/>
          <w:kern w:val="0"/>
        </w:rPr>
        <w:t>200</w:t>
      </w:r>
      <w:r>
        <w:rPr>
          <w:rFonts w:eastAsia="仿宋_GB2312"/>
          <w:kern w:val="0"/>
        </w:rPr>
        <w:t>人，</w:t>
      </w:r>
      <w:r w:rsidRPr="00E53BDD">
        <w:rPr>
          <w:rFonts w:ascii="仿宋" w:eastAsia="仿宋_GB2312" w:hAnsi="仿宋"/>
        </w:rPr>
        <w:t>新增获得国家专利代理师资</w:t>
      </w:r>
      <w:proofErr w:type="gramStart"/>
      <w:r w:rsidRPr="00E53BDD">
        <w:rPr>
          <w:rFonts w:ascii="仿宋" w:eastAsia="仿宋_GB2312" w:hAnsi="仿宋"/>
        </w:rPr>
        <w:t>格人数</w:t>
      </w:r>
      <w:proofErr w:type="gramEnd"/>
      <w:r w:rsidRPr="00E53BDD">
        <w:rPr>
          <w:rFonts w:ascii="仿宋" w:eastAsia="仿宋_GB2312" w:hAnsi="仿宋"/>
        </w:rPr>
        <w:t>20</w:t>
      </w:r>
      <w:r w:rsidRPr="00E53BDD">
        <w:rPr>
          <w:rFonts w:ascii="仿宋" w:eastAsia="仿宋_GB2312" w:hAnsi="仿宋"/>
        </w:rPr>
        <w:t>人，培训知识产权管理和执法人员、企业高管、知识产权工程师等各类人员</w:t>
      </w:r>
      <w:r w:rsidRPr="00E53BDD">
        <w:rPr>
          <w:rFonts w:ascii="仿宋" w:eastAsia="仿宋_GB2312" w:hAnsi="仿宋"/>
        </w:rPr>
        <w:t>1000</w:t>
      </w:r>
      <w:r w:rsidRPr="00E53BDD">
        <w:rPr>
          <w:rFonts w:ascii="仿宋" w:eastAsia="仿宋_GB2312" w:hAnsi="仿宋"/>
        </w:rPr>
        <w:t>人次。</w:t>
      </w:r>
    </w:p>
    <w:p w:rsidR="00833E93" w:rsidRDefault="00E53BDD">
      <w:pPr>
        <w:pStyle w:val="ad"/>
        <w:ind w:firstLineChars="0" w:firstLine="0"/>
        <w:jc w:val="center"/>
        <w:rPr>
          <w:rFonts w:ascii="黑体" w:eastAsia="黑体" w:hAnsi="黑体" w:cs="黑体" w:hint="default"/>
          <w:sz w:val="28"/>
          <w:szCs w:val="28"/>
        </w:rPr>
      </w:pPr>
      <w:r>
        <w:rPr>
          <w:rFonts w:ascii="黑体" w:eastAsia="黑体" w:hAnsi="黑体" w:cs="黑体"/>
          <w:sz w:val="28"/>
          <w:szCs w:val="28"/>
        </w:rPr>
        <w:t>表2 太仓市“十四五”知识产权发展规划主要指标</w:t>
      </w:r>
    </w:p>
    <w:tbl>
      <w:tblPr>
        <w:tblStyle w:val="aa"/>
        <w:tblW w:w="8519" w:type="dxa"/>
        <w:jc w:val="center"/>
        <w:tblBorders>
          <w:top w:val="single" w:sz="8" w:space="0" w:color="auto"/>
          <w:left w:val="single" w:sz="8" w:space="0" w:color="auto"/>
          <w:bottom w:val="single" w:sz="8" w:space="0" w:color="auto"/>
          <w:right w:val="single" w:sz="8" w:space="0" w:color="auto"/>
        </w:tblBorders>
        <w:tblLook w:val="04A0"/>
      </w:tblPr>
      <w:tblGrid>
        <w:gridCol w:w="586"/>
        <w:gridCol w:w="2125"/>
        <w:gridCol w:w="4653"/>
        <w:gridCol w:w="1155"/>
      </w:tblGrid>
      <w:tr w:rsidR="00833E93">
        <w:trPr>
          <w:trHeight w:val="23"/>
          <w:tblHeader/>
          <w:jc w:val="center"/>
        </w:trPr>
        <w:tc>
          <w:tcPr>
            <w:tcW w:w="586"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序号</w:t>
            </w:r>
          </w:p>
        </w:tc>
        <w:tc>
          <w:tcPr>
            <w:tcW w:w="2125"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项目</w:t>
            </w:r>
          </w:p>
        </w:tc>
        <w:tc>
          <w:tcPr>
            <w:tcW w:w="4653" w:type="dxa"/>
            <w:tcBorders>
              <w:tl2br w:val="nil"/>
              <w:tr2bl w:val="nil"/>
            </w:tcBorders>
            <w:vAlign w:val="center"/>
          </w:tcPr>
          <w:p w:rsidR="00833E93" w:rsidRDefault="00E53BDD">
            <w:pPr>
              <w:ind w:firstLineChars="0" w:firstLine="0"/>
              <w:jc w:val="center"/>
              <w:rPr>
                <w:rFonts w:ascii="仿宋" w:eastAsia="仿宋" w:hAnsi="仿宋" w:cs="仿宋"/>
                <w:b/>
                <w:kern w:val="0"/>
                <w:sz w:val="18"/>
                <w:szCs w:val="18"/>
              </w:rPr>
            </w:pPr>
            <w:r w:rsidRPr="00E53BDD">
              <w:rPr>
                <w:rFonts w:ascii="仿宋" w:eastAsia="仿宋_GB2312" w:hAnsi="仿宋" w:cs="仿宋" w:hint="eastAsia"/>
                <w:b/>
                <w:kern w:val="0"/>
                <w:sz w:val="18"/>
                <w:szCs w:val="18"/>
              </w:rPr>
              <w:t>核心指标（单位）</w:t>
            </w:r>
          </w:p>
        </w:tc>
        <w:tc>
          <w:tcPr>
            <w:tcW w:w="1155" w:type="dxa"/>
            <w:tcBorders>
              <w:tl2br w:val="nil"/>
              <w:tr2bl w:val="nil"/>
            </w:tcBorders>
            <w:vAlign w:val="center"/>
          </w:tcPr>
          <w:p w:rsidR="00833E93" w:rsidRPr="00E53BDD" w:rsidRDefault="00E53BDD">
            <w:pPr>
              <w:ind w:firstLineChars="0" w:firstLine="0"/>
              <w:jc w:val="center"/>
              <w:rPr>
                <w:rFonts w:ascii="仿宋" w:eastAsia="仿宋_GB2312" w:hAnsi="仿宋" w:cs="仿宋"/>
                <w:b/>
                <w:kern w:val="0"/>
                <w:sz w:val="18"/>
                <w:szCs w:val="18"/>
              </w:rPr>
            </w:pPr>
            <w:r w:rsidRPr="00E53BDD">
              <w:rPr>
                <w:rFonts w:ascii="仿宋" w:eastAsia="仿宋_GB2312" w:hAnsi="仿宋" w:cs="仿宋" w:hint="eastAsia"/>
                <w:b/>
                <w:kern w:val="0"/>
                <w:sz w:val="18"/>
                <w:szCs w:val="18"/>
              </w:rPr>
              <w:t>目标值</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w:t>
            </w:r>
          </w:p>
        </w:tc>
        <w:tc>
          <w:tcPr>
            <w:tcW w:w="2125" w:type="dxa"/>
            <w:vMerge w:val="restart"/>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lang w:val="zh-TW"/>
              </w:rPr>
              <w:t>知识产权创造</w:t>
            </w: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rPr>
              <w:t>万人</w:t>
            </w:r>
            <w:r w:rsidRPr="00E53BDD">
              <w:rPr>
                <w:rFonts w:ascii="仿宋" w:eastAsia="仿宋_GB2312" w:hAnsi="仿宋" w:cs="仿宋" w:hint="eastAsia"/>
                <w:sz w:val="18"/>
                <w:szCs w:val="18"/>
                <w:lang w:val="zh-TW"/>
              </w:rPr>
              <w:t>高价值发明专利（件）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40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2</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rPr>
              <w:t>新增海外</w:t>
            </w:r>
            <w:r w:rsidRPr="00E53BDD">
              <w:rPr>
                <w:rFonts w:ascii="仿宋" w:eastAsia="仿宋_GB2312" w:hAnsi="仿宋" w:cs="仿宋" w:hint="eastAsia"/>
                <w:sz w:val="18"/>
                <w:szCs w:val="18"/>
                <w:lang w:val="zh-TW"/>
              </w:rPr>
              <w:t>发明授权量</w:t>
            </w:r>
            <w:r w:rsidRPr="00E53BDD">
              <w:rPr>
                <w:rFonts w:ascii="仿宋" w:eastAsia="仿宋_GB2312" w:hAnsi="仿宋" w:cs="仿宋" w:hint="eastAsia"/>
                <w:sz w:val="18"/>
                <w:szCs w:val="18"/>
                <w:lang w:val="zh-TW" w:eastAsia="zh-TW"/>
              </w:rPr>
              <w:t>（件）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200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3</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eastAsia="zh-TW"/>
              </w:rPr>
              <w:t>累计马德里商标注册量（件）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150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4</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新增一般作品著作权登记量（件）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5000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6</w:t>
            </w:r>
          </w:p>
        </w:tc>
        <w:tc>
          <w:tcPr>
            <w:tcW w:w="2125" w:type="dxa"/>
            <w:vMerge w:val="restart"/>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知识产权运用</w:t>
            </w: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知识产权示范优势企业数量</w:t>
            </w:r>
            <w:r w:rsidRPr="00E53BDD">
              <w:rPr>
                <w:rFonts w:ascii="仿宋" w:eastAsia="仿宋_GB2312" w:hAnsi="仿宋" w:cs="仿宋" w:hint="eastAsia"/>
                <w:sz w:val="18"/>
                <w:szCs w:val="18"/>
                <w:lang w:val="zh-TW"/>
              </w:rPr>
              <w:t>（家）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25</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7</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新增知识产权贯</w:t>
            </w:r>
            <w:proofErr w:type="gramStart"/>
            <w:r w:rsidRPr="00E53BDD">
              <w:rPr>
                <w:rFonts w:ascii="仿宋" w:eastAsia="仿宋_GB2312" w:hAnsi="仿宋" w:cs="仿宋" w:hint="eastAsia"/>
                <w:sz w:val="18"/>
                <w:szCs w:val="18"/>
                <w:lang w:val="zh-TW"/>
              </w:rPr>
              <w:t>标单位</w:t>
            </w:r>
            <w:proofErr w:type="gramEnd"/>
            <w:r w:rsidRPr="00E53BDD">
              <w:rPr>
                <w:rFonts w:ascii="仿宋" w:eastAsia="仿宋_GB2312" w:hAnsi="仿宋" w:cs="仿宋" w:hint="eastAsia"/>
                <w:sz w:val="18"/>
                <w:szCs w:val="18"/>
                <w:lang w:val="zh-TW"/>
              </w:rPr>
              <w:t>数（家）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100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8</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累计</w:t>
            </w:r>
            <w:proofErr w:type="gramStart"/>
            <w:r w:rsidRPr="00E53BDD">
              <w:rPr>
                <w:rFonts w:ascii="仿宋" w:eastAsia="仿宋_GB2312" w:hAnsi="仿宋" w:cs="仿宋" w:hint="eastAsia"/>
                <w:sz w:val="18"/>
                <w:szCs w:val="18"/>
                <w:lang w:val="zh-TW"/>
              </w:rPr>
              <w:t>知识产权强企培育</w:t>
            </w:r>
            <w:proofErr w:type="gramEnd"/>
            <w:r w:rsidRPr="00E53BDD">
              <w:rPr>
                <w:rFonts w:ascii="仿宋" w:eastAsia="仿宋_GB2312" w:hAnsi="仿宋" w:cs="仿宋" w:hint="eastAsia"/>
                <w:sz w:val="18"/>
                <w:szCs w:val="18"/>
                <w:lang w:val="zh-TW"/>
              </w:rPr>
              <w:t>工程入库企业（家）</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100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kern w:val="0"/>
                <w:sz w:val="18"/>
                <w:szCs w:val="18"/>
              </w:rPr>
              <w:t>9</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知识产权</w:t>
            </w:r>
            <w:r w:rsidRPr="00E53BDD">
              <w:rPr>
                <w:rFonts w:ascii="仿宋" w:eastAsia="仿宋_GB2312" w:hAnsi="仿宋" w:cs="仿宋" w:hint="eastAsia"/>
                <w:sz w:val="18"/>
                <w:szCs w:val="18"/>
                <w:lang w:val="zh-TW" w:eastAsia="zh-TW"/>
              </w:rPr>
              <w:t>质押</w:t>
            </w:r>
            <w:r w:rsidRPr="00E53BDD">
              <w:rPr>
                <w:rFonts w:ascii="仿宋" w:eastAsia="仿宋_GB2312" w:hAnsi="仿宋" w:cs="仿宋" w:hint="eastAsia"/>
                <w:sz w:val="18"/>
                <w:szCs w:val="18"/>
              </w:rPr>
              <w:t>融资登记</w:t>
            </w:r>
            <w:r w:rsidRPr="00E53BDD">
              <w:rPr>
                <w:rFonts w:ascii="仿宋" w:eastAsia="仿宋_GB2312" w:hAnsi="仿宋" w:cs="仿宋" w:hint="eastAsia"/>
                <w:sz w:val="18"/>
                <w:szCs w:val="18"/>
                <w:lang w:val="zh-TW" w:eastAsia="zh-TW"/>
              </w:rPr>
              <w:t>金额（亿元）</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15</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10</w:t>
            </w:r>
          </w:p>
        </w:tc>
        <w:tc>
          <w:tcPr>
            <w:tcW w:w="2125" w:type="dxa"/>
            <w:vMerge w:val="restart"/>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知识产权保护</w:t>
            </w: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知识产权保护</w:t>
            </w:r>
            <w:r w:rsidRPr="00E53BDD">
              <w:rPr>
                <w:rFonts w:ascii="仿宋" w:eastAsia="仿宋_GB2312" w:hAnsi="仿宋" w:cs="仿宋" w:hint="eastAsia"/>
                <w:sz w:val="18"/>
                <w:szCs w:val="18"/>
                <w:lang w:val="zh-TW"/>
              </w:rPr>
              <w:t>社会</w:t>
            </w:r>
            <w:r w:rsidRPr="00E53BDD">
              <w:rPr>
                <w:rFonts w:ascii="仿宋" w:eastAsia="仿宋_GB2312" w:hAnsi="仿宋" w:cs="仿宋" w:hint="eastAsia"/>
                <w:sz w:val="18"/>
                <w:szCs w:val="18"/>
                <w:lang w:val="zh-TW" w:eastAsia="zh-TW"/>
              </w:rPr>
              <w:t>满意度（</w:t>
            </w:r>
            <w:r w:rsidRPr="00E53BDD">
              <w:rPr>
                <w:rFonts w:ascii="仿宋" w:eastAsia="仿宋_GB2312" w:hAnsi="仿宋" w:cs="仿宋" w:hint="eastAsia"/>
                <w:sz w:val="18"/>
                <w:szCs w:val="18"/>
              </w:rPr>
              <w:t>分</w:t>
            </w:r>
            <w:r w:rsidRPr="00E53BDD">
              <w:rPr>
                <w:rFonts w:ascii="仿宋" w:eastAsia="仿宋_GB2312" w:hAnsi="仿宋" w:cs="仿宋" w:hint="eastAsia"/>
                <w:sz w:val="18"/>
                <w:szCs w:val="18"/>
                <w:lang w:val="zh-TW" w:eastAsia="zh-TW"/>
              </w:rPr>
              <w:t>）</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w:t>
            </w:r>
            <w:r w:rsidRPr="00E53BDD">
              <w:rPr>
                <w:rFonts w:ascii="仿宋" w:eastAsia="仿宋_GB2312" w:hAnsi="仿宋" w:cs="仿宋" w:hint="eastAsia"/>
                <w:kern w:val="0"/>
                <w:sz w:val="18"/>
                <w:szCs w:val="18"/>
              </w:rPr>
              <w:t>85</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11</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rPr>
              <w:t>知识产权民事一审案件服判息诉率（</w:t>
            </w:r>
            <w:r w:rsidRPr="00E53BDD">
              <w:rPr>
                <w:rFonts w:ascii="仿宋" w:eastAsia="仿宋_GB2312" w:hAnsi="仿宋" w:cs="仿宋" w:hint="eastAsia"/>
                <w:sz w:val="18"/>
                <w:szCs w:val="18"/>
              </w:rPr>
              <w:t>%</w:t>
            </w:r>
            <w:r w:rsidRPr="00E53BDD">
              <w:rPr>
                <w:rFonts w:ascii="仿宋" w:eastAsia="仿宋_GB2312" w:hAnsi="仿宋" w:cs="仿宋" w:hint="eastAsia"/>
                <w:sz w:val="18"/>
                <w:szCs w:val="18"/>
              </w:rPr>
              <w:t>）</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w:t>
            </w:r>
            <w:r w:rsidRPr="00E53BDD">
              <w:rPr>
                <w:rFonts w:ascii="仿宋" w:eastAsia="仿宋_GB2312" w:hAnsi="仿宋" w:cs="仿宋" w:hint="eastAsia"/>
                <w:kern w:val="0"/>
                <w:sz w:val="18"/>
                <w:szCs w:val="18"/>
              </w:rPr>
              <w:t>93</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12</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kern w:val="0"/>
                <w:sz w:val="18"/>
                <w:szCs w:val="18"/>
              </w:rPr>
              <w:t>知识产权行政执法案件办结率（</w:t>
            </w:r>
            <w:r w:rsidRPr="00E53BDD">
              <w:rPr>
                <w:rFonts w:ascii="仿宋" w:eastAsia="仿宋_GB2312" w:hAnsi="仿宋" w:cs="仿宋" w:hint="eastAsia"/>
                <w:kern w:val="0"/>
                <w:sz w:val="18"/>
                <w:szCs w:val="18"/>
              </w:rPr>
              <w:t>%</w:t>
            </w:r>
            <w:r w:rsidRPr="00E53BDD">
              <w:rPr>
                <w:rFonts w:ascii="仿宋" w:eastAsia="仿宋_GB2312" w:hAnsi="仿宋" w:cs="仿宋" w:hint="eastAsia"/>
                <w:kern w:val="0"/>
                <w:sz w:val="18"/>
                <w:szCs w:val="18"/>
              </w:rPr>
              <w:t>）</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100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13</w:t>
            </w:r>
          </w:p>
        </w:tc>
        <w:tc>
          <w:tcPr>
            <w:tcW w:w="2125" w:type="dxa"/>
            <w:vMerge w:val="restart"/>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知识产权服务</w:t>
            </w: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rPr>
              <w:t>新增获得国家专利代理师资格（人）</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20</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14</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知识产权服务机构主营业务收入</w:t>
            </w:r>
            <w:r w:rsidRPr="00E53BDD">
              <w:rPr>
                <w:rFonts w:ascii="仿宋" w:eastAsia="仿宋_GB2312" w:hAnsi="仿宋" w:cs="仿宋" w:hint="eastAsia"/>
                <w:sz w:val="18"/>
                <w:szCs w:val="18"/>
                <w:lang w:val="zh-TW"/>
              </w:rPr>
              <w:t>（亿元）</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2</w:t>
            </w:r>
          </w:p>
        </w:tc>
      </w:tr>
      <w:tr w:rsidR="00833E93">
        <w:trPr>
          <w:trHeight w:val="23"/>
          <w:jc w:val="center"/>
        </w:trPr>
        <w:tc>
          <w:tcPr>
            <w:tcW w:w="586" w:type="dxa"/>
            <w:tcBorders>
              <w:tl2br w:val="nil"/>
              <w:tr2bl w:val="nil"/>
            </w:tcBorders>
            <w:vAlign w:val="center"/>
          </w:tcPr>
          <w:p w:rsidR="00833E93" w:rsidRDefault="00E53BDD">
            <w:pPr>
              <w:adjustRightInd w:val="0"/>
              <w:ind w:firstLineChars="0" w:firstLine="0"/>
              <w:jc w:val="center"/>
              <w:rPr>
                <w:rFonts w:ascii="仿宋" w:eastAsia="仿宋" w:hAnsi="仿宋" w:cs="仿宋"/>
                <w:kern w:val="0"/>
                <w:sz w:val="18"/>
                <w:szCs w:val="18"/>
              </w:rPr>
            </w:pPr>
            <w:r w:rsidRPr="00E53BDD">
              <w:rPr>
                <w:rFonts w:ascii="仿宋" w:eastAsia="仿宋_GB2312" w:hAnsi="仿宋" w:cs="仿宋" w:hint="eastAsia"/>
                <w:sz w:val="18"/>
                <w:szCs w:val="18"/>
              </w:rPr>
              <w:t>15</w:t>
            </w:r>
          </w:p>
        </w:tc>
        <w:tc>
          <w:tcPr>
            <w:tcW w:w="2125" w:type="dxa"/>
            <w:vMerge/>
            <w:tcBorders>
              <w:tl2br w:val="nil"/>
              <w:tr2bl w:val="nil"/>
            </w:tcBorders>
            <w:vAlign w:val="center"/>
          </w:tcPr>
          <w:p w:rsidR="00833E93" w:rsidRDefault="00833E93">
            <w:pPr>
              <w:adjustRightInd w:val="0"/>
              <w:ind w:firstLineChars="0" w:firstLine="0"/>
              <w:jc w:val="center"/>
              <w:rPr>
                <w:rFonts w:ascii="仿宋" w:eastAsia="仿宋" w:hAnsi="仿宋" w:cs="仿宋"/>
                <w:kern w:val="0"/>
                <w:sz w:val="18"/>
                <w:szCs w:val="18"/>
              </w:rPr>
            </w:pPr>
          </w:p>
        </w:tc>
        <w:tc>
          <w:tcPr>
            <w:tcW w:w="4653" w:type="dxa"/>
            <w:tcBorders>
              <w:tl2br w:val="nil"/>
              <w:tr2bl w:val="nil"/>
            </w:tcBorders>
            <w:vAlign w:val="center"/>
          </w:tcPr>
          <w:p w:rsidR="00833E93" w:rsidRDefault="00E53BDD">
            <w:pPr>
              <w:adjustRightInd w:val="0"/>
              <w:ind w:firstLineChars="0" w:firstLine="0"/>
              <w:rPr>
                <w:rFonts w:ascii="仿宋" w:eastAsia="仿宋" w:hAnsi="仿宋" w:cs="仿宋"/>
                <w:kern w:val="0"/>
                <w:sz w:val="18"/>
                <w:szCs w:val="18"/>
              </w:rPr>
            </w:pPr>
            <w:r w:rsidRPr="00E53BDD">
              <w:rPr>
                <w:rFonts w:ascii="仿宋" w:eastAsia="仿宋_GB2312" w:hAnsi="仿宋" w:cs="仿宋" w:hint="eastAsia"/>
                <w:sz w:val="18"/>
                <w:szCs w:val="18"/>
                <w:lang w:val="zh-TW" w:eastAsia="zh-TW"/>
              </w:rPr>
              <w:t>知识产权公共服务平台</w:t>
            </w:r>
            <w:r w:rsidRPr="00E53BDD">
              <w:rPr>
                <w:rFonts w:ascii="仿宋" w:eastAsia="仿宋_GB2312" w:hAnsi="仿宋" w:cs="仿宋" w:hint="eastAsia"/>
                <w:sz w:val="18"/>
                <w:szCs w:val="18"/>
                <w:lang w:val="zh-TW"/>
              </w:rPr>
              <w:t>（个）</w:t>
            </w:r>
          </w:p>
        </w:tc>
        <w:tc>
          <w:tcPr>
            <w:tcW w:w="1155" w:type="dxa"/>
            <w:tcBorders>
              <w:tl2br w:val="nil"/>
              <w:tr2bl w:val="nil"/>
            </w:tcBorders>
            <w:vAlign w:val="center"/>
          </w:tcPr>
          <w:p w:rsidR="00833E93" w:rsidRPr="00E53BDD" w:rsidRDefault="00E53BDD">
            <w:pPr>
              <w:adjustRightInd w:val="0"/>
              <w:ind w:firstLineChars="0" w:firstLine="0"/>
              <w:jc w:val="center"/>
              <w:rPr>
                <w:rFonts w:ascii="仿宋" w:eastAsia="仿宋_GB2312" w:hAnsi="仿宋" w:cs="仿宋"/>
                <w:kern w:val="0"/>
                <w:sz w:val="18"/>
                <w:szCs w:val="18"/>
              </w:rPr>
            </w:pPr>
            <w:r w:rsidRPr="00E53BDD">
              <w:rPr>
                <w:rFonts w:ascii="仿宋" w:eastAsia="仿宋_GB2312" w:hAnsi="仿宋" w:cs="仿宋" w:hint="eastAsia"/>
                <w:kern w:val="0"/>
                <w:sz w:val="18"/>
                <w:szCs w:val="18"/>
              </w:rPr>
              <w:t>3</w:t>
            </w:r>
          </w:p>
        </w:tc>
      </w:tr>
    </w:tbl>
    <w:p w:rsidR="00833E93" w:rsidRDefault="00E53BDD">
      <w:pPr>
        <w:pStyle w:val="1"/>
        <w:ind w:firstLine="640"/>
      </w:pPr>
      <w:bookmarkStart w:id="156" w:name="_Toc14988"/>
      <w:bookmarkStart w:id="157" w:name="_Toc29878"/>
      <w:bookmarkStart w:id="158" w:name="_Toc29682"/>
      <w:bookmarkStart w:id="159" w:name="_Toc25213"/>
      <w:bookmarkStart w:id="160" w:name="_Toc19718"/>
      <w:bookmarkStart w:id="161" w:name="_Toc13928"/>
      <w:bookmarkStart w:id="162" w:name="_Toc26698"/>
      <w:bookmarkStart w:id="163" w:name="_Toc31891"/>
      <w:bookmarkStart w:id="164" w:name="_Toc13676"/>
      <w:r>
        <w:rPr>
          <w:rFonts w:hint="eastAsia"/>
        </w:rPr>
        <w:t>主要任务</w:t>
      </w:r>
      <w:bookmarkEnd w:id="156"/>
      <w:bookmarkEnd w:id="157"/>
      <w:bookmarkEnd w:id="158"/>
      <w:bookmarkEnd w:id="159"/>
      <w:bookmarkEnd w:id="160"/>
      <w:bookmarkEnd w:id="161"/>
      <w:bookmarkEnd w:id="162"/>
      <w:bookmarkEnd w:id="163"/>
      <w:bookmarkEnd w:id="164"/>
    </w:p>
    <w:p w:rsidR="00833E93" w:rsidRPr="00E53BDD" w:rsidRDefault="00E53BDD">
      <w:pPr>
        <w:pStyle w:val="2"/>
        <w:ind w:firstLine="640"/>
        <w:rPr>
          <w:rFonts w:eastAsia="楷体_GB2312"/>
        </w:rPr>
      </w:pPr>
      <w:bookmarkStart w:id="165" w:name="_Toc26482"/>
      <w:bookmarkStart w:id="166" w:name="_Toc9885"/>
      <w:bookmarkStart w:id="167" w:name="_Toc3513"/>
      <w:bookmarkStart w:id="168" w:name="_Toc7767"/>
      <w:bookmarkStart w:id="169" w:name="_Toc5268"/>
      <w:bookmarkStart w:id="170" w:name="_Toc14847"/>
      <w:bookmarkStart w:id="171" w:name="_Toc10361"/>
      <w:bookmarkStart w:id="172" w:name="_Toc21431"/>
      <w:bookmarkStart w:id="173" w:name="_Toc136"/>
      <w:r w:rsidRPr="00E53BDD">
        <w:rPr>
          <w:rFonts w:eastAsia="楷体_GB2312"/>
        </w:rPr>
        <w:t>构建现代化知识产权治理体系</w:t>
      </w:r>
      <w:bookmarkEnd w:id="165"/>
      <w:bookmarkEnd w:id="166"/>
      <w:bookmarkEnd w:id="167"/>
      <w:bookmarkEnd w:id="168"/>
      <w:bookmarkEnd w:id="169"/>
      <w:bookmarkEnd w:id="170"/>
      <w:bookmarkEnd w:id="171"/>
      <w:bookmarkEnd w:id="172"/>
      <w:bookmarkEnd w:id="173"/>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174" w:name="_Toc13902"/>
      <w:bookmarkStart w:id="175" w:name="_Toc3598"/>
      <w:bookmarkStart w:id="176" w:name="_Toc8950"/>
      <w:bookmarkStart w:id="177" w:name="_Toc23268"/>
      <w:bookmarkStart w:id="178" w:name="_Toc26552"/>
      <w:bookmarkStart w:id="179" w:name="_Toc5625"/>
      <w:bookmarkStart w:id="180" w:name="_Toc3883"/>
      <w:bookmarkStart w:id="181" w:name="_Toc2266"/>
      <w:bookmarkStart w:id="182" w:name="_Toc1808"/>
      <w:r w:rsidRPr="00E53BDD">
        <w:rPr>
          <w:rFonts w:ascii="Times New Roman" w:eastAsia="仿宋_GB2312" w:hAnsi="Times New Roman" w:cs="仿宋" w:hint="eastAsia"/>
          <w:b/>
          <w:bCs/>
          <w:szCs w:val="32"/>
        </w:rPr>
        <w:t>1.</w:t>
      </w:r>
      <w:r w:rsidRPr="00E53BDD">
        <w:rPr>
          <w:rFonts w:ascii="Times New Roman" w:eastAsia="仿宋_GB2312" w:hAnsi="Times New Roman" w:cs="仿宋" w:hint="eastAsia"/>
          <w:b/>
          <w:bCs/>
          <w:szCs w:val="32"/>
        </w:rPr>
        <w:t>推进知</w:t>
      </w:r>
      <w:r w:rsidRPr="00E53BDD">
        <w:rPr>
          <w:rFonts w:ascii="Times New Roman" w:eastAsia="仿宋_GB2312" w:hAnsi="Times New Roman" w:cs="仿宋"/>
          <w:b/>
          <w:bCs/>
          <w:szCs w:val="32"/>
        </w:rPr>
        <w:t>识产权</w:t>
      </w:r>
      <w:r w:rsidRPr="00E53BDD">
        <w:rPr>
          <w:rFonts w:ascii="Times New Roman" w:eastAsia="仿宋_GB2312" w:hAnsi="Times New Roman" w:cs="仿宋" w:hint="eastAsia"/>
          <w:b/>
          <w:bCs/>
          <w:szCs w:val="32"/>
        </w:rPr>
        <w:t>法规政策落实</w:t>
      </w:r>
      <w:bookmarkEnd w:id="174"/>
      <w:bookmarkEnd w:id="175"/>
      <w:bookmarkEnd w:id="176"/>
      <w:bookmarkEnd w:id="177"/>
      <w:bookmarkEnd w:id="178"/>
      <w:bookmarkEnd w:id="179"/>
      <w:bookmarkEnd w:id="180"/>
      <w:bookmarkEnd w:id="181"/>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严格执行知识产权政策法规，高标准实施《江苏省知识产权促进和保护条例》，全面落实国家《关于知识产权保护的意见》和江苏省、苏州市《关于强化知识产权保护的实施意见》等政策文件，进一步完善《太仓市知识产权高质量发展若干政策暂行办法》《太仓市专利代理机构绩效评价管理办法（试行）》等政策，推进知识产权法规政策有效落实。做好与省、市知识产权政策衔接，形成在科技、产业、人才、金融、税收等方面知识产权政策叠加优势。建立健全知识产权政策合法性和公平竞争审查制度，建立知识产权公共政策评估机制。</w:t>
      </w:r>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183" w:name="_Toc6569"/>
      <w:bookmarkStart w:id="184" w:name="_Toc2767"/>
      <w:bookmarkStart w:id="185" w:name="_Toc5957"/>
      <w:bookmarkStart w:id="186" w:name="_Toc22884"/>
      <w:bookmarkStart w:id="187" w:name="_Toc15989"/>
      <w:bookmarkStart w:id="188" w:name="_Toc29221"/>
      <w:bookmarkStart w:id="189" w:name="_Toc30648"/>
      <w:bookmarkStart w:id="190" w:name="_Toc24179"/>
      <w:r w:rsidRPr="00E53BDD">
        <w:rPr>
          <w:rFonts w:ascii="Times New Roman" w:eastAsia="仿宋_GB2312" w:hAnsi="Times New Roman" w:cs="仿宋" w:hint="eastAsia"/>
          <w:b/>
          <w:bCs/>
          <w:szCs w:val="32"/>
        </w:rPr>
        <w:t>2.</w:t>
      </w:r>
      <w:r w:rsidRPr="00E53BDD">
        <w:rPr>
          <w:rFonts w:ascii="Times New Roman" w:eastAsia="仿宋_GB2312" w:hAnsi="Times New Roman" w:cs="仿宋" w:hint="eastAsia"/>
          <w:b/>
          <w:bCs/>
          <w:szCs w:val="32"/>
        </w:rPr>
        <w:t>完善知识产权管理工作机制</w:t>
      </w:r>
      <w:bookmarkEnd w:id="183"/>
      <w:bookmarkEnd w:id="184"/>
      <w:bookmarkEnd w:id="185"/>
      <w:bookmarkEnd w:id="186"/>
      <w:bookmarkEnd w:id="187"/>
      <w:bookmarkEnd w:id="188"/>
      <w:bookmarkEnd w:id="189"/>
      <w:bookmarkEnd w:id="190"/>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完善知识产权高效协同管理体系，积极推进知识产权联席会议。推进区镇知识产权执法管理体制改革，形成职责清晰、管理统一、运行高效的知识产权管理模式。系统谋划太仓知识产权工作布局，重点实施知识产权要素配置、运营深化、强企培育、产业促进、保护强化、服务提升、人才支撑和环境优化等八大工程，打通知识产权创造、运用、管理、保护、服务全链条。</w:t>
      </w:r>
    </w:p>
    <w:p w:rsidR="00833E93" w:rsidRPr="00E53BDD" w:rsidRDefault="00E53BDD">
      <w:pPr>
        <w:pStyle w:val="2"/>
        <w:ind w:firstLine="640"/>
        <w:rPr>
          <w:rFonts w:eastAsia="楷体_GB2312"/>
        </w:rPr>
      </w:pPr>
      <w:bookmarkStart w:id="191" w:name="_Toc20626"/>
      <w:bookmarkStart w:id="192" w:name="_Toc11428"/>
      <w:bookmarkStart w:id="193" w:name="_Toc16705"/>
      <w:bookmarkStart w:id="194" w:name="_Toc30082"/>
      <w:bookmarkStart w:id="195" w:name="_Toc19915"/>
      <w:bookmarkStart w:id="196" w:name="_Toc30195"/>
      <w:bookmarkStart w:id="197" w:name="_Toc4944"/>
      <w:bookmarkStart w:id="198" w:name="_Toc26166"/>
      <w:bookmarkStart w:id="199" w:name="_Toc32715"/>
      <w:bookmarkEnd w:id="182"/>
      <w:r w:rsidRPr="00E53BDD">
        <w:rPr>
          <w:rFonts w:eastAsia="楷体_GB2312" w:hint="eastAsia"/>
        </w:rPr>
        <w:t>推动知识产权高质量创造</w:t>
      </w:r>
      <w:bookmarkEnd w:id="191"/>
      <w:bookmarkEnd w:id="192"/>
      <w:bookmarkEnd w:id="193"/>
      <w:bookmarkEnd w:id="194"/>
      <w:bookmarkEnd w:id="195"/>
      <w:bookmarkEnd w:id="196"/>
      <w:bookmarkEnd w:id="197"/>
      <w:bookmarkEnd w:id="198"/>
      <w:bookmarkEnd w:id="199"/>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00" w:name="_Toc9221"/>
      <w:bookmarkStart w:id="201" w:name="_Toc2672"/>
      <w:bookmarkStart w:id="202" w:name="_Toc9385"/>
      <w:bookmarkStart w:id="203" w:name="_Toc21611"/>
      <w:bookmarkStart w:id="204" w:name="_Toc9877"/>
      <w:bookmarkStart w:id="205" w:name="_Toc5440"/>
      <w:bookmarkStart w:id="206" w:name="_Toc17462"/>
      <w:bookmarkStart w:id="207" w:name="_Toc12569"/>
      <w:bookmarkStart w:id="208" w:name="_Toc26108"/>
      <w:r w:rsidRPr="00E53BDD">
        <w:rPr>
          <w:rFonts w:ascii="Times New Roman" w:eastAsia="仿宋_GB2312" w:hAnsi="Times New Roman" w:cs="仿宋" w:hint="eastAsia"/>
          <w:b/>
          <w:bCs/>
          <w:szCs w:val="32"/>
        </w:rPr>
        <w:t>3.</w:t>
      </w:r>
      <w:r w:rsidRPr="00E53BDD">
        <w:rPr>
          <w:rFonts w:ascii="Times New Roman" w:eastAsia="仿宋_GB2312" w:hAnsi="Times New Roman" w:cs="仿宋" w:hint="eastAsia"/>
          <w:b/>
          <w:bCs/>
          <w:szCs w:val="32"/>
        </w:rPr>
        <w:t>实施高价值知识产权培育工程</w:t>
      </w:r>
      <w:bookmarkEnd w:id="200"/>
      <w:bookmarkEnd w:id="201"/>
      <w:bookmarkEnd w:id="202"/>
      <w:bookmarkEnd w:id="203"/>
      <w:bookmarkEnd w:id="204"/>
      <w:bookmarkEnd w:id="205"/>
      <w:bookmarkEnd w:id="206"/>
      <w:bookmarkEnd w:id="207"/>
      <w:bookmarkEnd w:id="208"/>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制定高价值专利培育计划，打造高价值专利创造新高地。鼓励企业参与区域协同创新，依托“两校多院”等重大创新载体，支持高校、科研院所、企业加强基础研究和原始创新，产出一批原创性、基础性专利。深入推进核心技术领域知识产权战略实施，围绕高端装备、先进材</w:t>
      </w:r>
      <w:bookmarkStart w:id="209" w:name="_GoBack"/>
      <w:bookmarkEnd w:id="209"/>
      <w:r w:rsidRPr="00E53BDD">
        <w:rPr>
          <w:rFonts w:eastAsia="仿宋_GB2312" w:cs="仿宋" w:hint="eastAsia"/>
          <w:sz w:val="32"/>
          <w:szCs w:val="32"/>
        </w:rPr>
        <w:t>料、智能制造等重点产业，开展核心技术与断链断供技术攻关，建立高价值专利培育库，培育一批自主可控的高价值专利。开展专利布局，聚焦生物医药、航空航天等特色产业创新集群和标志性产业链，布局一批具有核心竞争力的高价值专利和专利组合。</w:t>
      </w:r>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实施高知名度品牌战略，推进“苏州制造”品牌建设太仓三年行动计划，围绕优势产业、重点领域，发挥“苏州制造”品牌标杆的示范作用，强化企业自主品牌意识，引导和鼓励规模优势明显的品牌企业聚焦产业</w:t>
      </w:r>
      <w:proofErr w:type="gramStart"/>
      <w:r w:rsidRPr="00E53BDD">
        <w:rPr>
          <w:rFonts w:eastAsia="仿宋_GB2312" w:cs="仿宋" w:hint="eastAsia"/>
          <w:sz w:val="32"/>
          <w:szCs w:val="32"/>
        </w:rPr>
        <w:t>链关键</w:t>
      </w:r>
      <w:proofErr w:type="gramEnd"/>
      <w:r w:rsidRPr="00E53BDD">
        <w:rPr>
          <w:rFonts w:eastAsia="仿宋_GB2312" w:cs="仿宋" w:hint="eastAsia"/>
          <w:sz w:val="32"/>
          <w:szCs w:val="32"/>
        </w:rPr>
        <w:t>环节和创新资源，打造具有市场影响力和竞争力的区域品牌。实施地理标志品牌培育计划，加强农业种质资源知识产权保护，支持地理标志协会和骨干企业加快发展，打造一批特色农业品牌和特色产品，带动形成一体化发展产业链。</w:t>
      </w:r>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强化高影响力版权作品培育，推出一批观众叫好、市场叫座的版权精品。开展优秀版权作品创作扶持行动，加大传统文化资源挖掘力度，形成一批具有太仓特色的优秀版权作品。加强现代信息技术运用与文化内容结合，产出一批游戏、动漫、电影等优秀版权作品。鼓励工业制造和文化内容两大领域的原始创作和衍生开发，培育</w:t>
      </w:r>
      <w:proofErr w:type="gramStart"/>
      <w:r w:rsidRPr="00E53BDD">
        <w:rPr>
          <w:rFonts w:eastAsia="仿宋_GB2312" w:cs="仿宋" w:hint="eastAsia"/>
          <w:sz w:val="32"/>
          <w:szCs w:val="32"/>
        </w:rPr>
        <w:t>一</w:t>
      </w:r>
      <w:proofErr w:type="gramEnd"/>
      <w:r w:rsidRPr="00E53BDD">
        <w:rPr>
          <w:rFonts w:eastAsia="仿宋_GB2312" w:cs="仿宋" w:hint="eastAsia"/>
          <w:sz w:val="32"/>
          <w:szCs w:val="32"/>
        </w:rPr>
        <w:t>批文化内涵深厚、原创设计独特、产业转化“双效俱佳”的优秀版权作品。</w:t>
      </w:r>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10" w:name="_Toc21759"/>
      <w:bookmarkStart w:id="211" w:name="_Toc19143"/>
      <w:bookmarkStart w:id="212" w:name="_Toc24006"/>
      <w:bookmarkStart w:id="213" w:name="_Toc10926"/>
      <w:bookmarkStart w:id="214" w:name="_Toc10539"/>
      <w:bookmarkStart w:id="215" w:name="_Toc1444"/>
      <w:bookmarkStart w:id="216" w:name="_Toc10602"/>
      <w:bookmarkStart w:id="217" w:name="_Toc12961"/>
      <w:r w:rsidRPr="00E53BDD">
        <w:rPr>
          <w:rFonts w:ascii="Times New Roman" w:eastAsia="仿宋_GB2312" w:hAnsi="Times New Roman" w:cs="仿宋" w:hint="eastAsia"/>
          <w:b/>
          <w:bCs/>
          <w:szCs w:val="32"/>
        </w:rPr>
        <w:t>4.</w:t>
      </w:r>
      <w:r w:rsidRPr="00E53BDD">
        <w:rPr>
          <w:rFonts w:ascii="Times New Roman" w:eastAsia="仿宋_GB2312" w:hAnsi="Times New Roman" w:cs="仿宋" w:hint="eastAsia"/>
          <w:b/>
          <w:bCs/>
          <w:szCs w:val="32"/>
        </w:rPr>
        <w:t>加快知识产权密集型企业培育</w:t>
      </w:r>
      <w:bookmarkEnd w:id="210"/>
      <w:bookmarkEnd w:id="211"/>
      <w:bookmarkEnd w:id="212"/>
      <w:bookmarkEnd w:id="213"/>
      <w:bookmarkEnd w:id="214"/>
      <w:bookmarkEnd w:id="215"/>
      <w:bookmarkEnd w:id="216"/>
      <w:bookmarkEnd w:id="217"/>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实施知识产权密集型企业培育工程，健全高新技术企业、创新领军企业、专精特新等重点企业知识产权培育体系。鼓励创新主体提升知识产权要素集聚度，促进企业从技术密集型向知识产权密集型转变。建设企业知识产权工作站，提供知识产权信息检索、法律咨询、管理规范等方面业务指导，提升企业知识产权战略运用能力与核心竞争力。加强知识产权密集型企业统计监测，研究制定知识产权密集型企业培育目录，引导其向知识产权密集型企业发展。联合区镇产业园管理部门，集成知识产权资源促进产业园和园内企业发展，培育知识产权密集型产业园区。探索设立“苏州中德产业知识产权运营中心”，大力培育发展具有国际竞争力、自主可控的知识产权密集型产业，努力打造“立足太仓、辐射苏州、连通中德”的知识产权创新发展体系。</w:t>
      </w:r>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18" w:name="_Toc5434"/>
      <w:bookmarkStart w:id="219" w:name="_Toc27240"/>
      <w:bookmarkStart w:id="220" w:name="_Toc23876"/>
      <w:bookmarkStart w:id="221" w:name="_Toc11711"/>
      <w:bookmarkStart w:id="222" w:name="_Toc25057"/>
      <w:bookmarkStart w:id="223" w:name="_Toc16175"/>
      <w:bookmarkStart w:id="224" w:name="_Toc21349"/>
      <w:bookmarkStart w:id="225" w:name="_Toc1373"/>
      <w:r w:rsidRPr="00E53BDD">
        <w:rPr>
          <w:rFonts w:ascii="Times New Roman" w:eastAsia="仿宋_GB2312" w:hAnsi="Times New Roman" w:cs="仿宋" w:hint="eastAsia"/>
          <w:b/>
          <w:bCs/>
          <w:szCs w:val="32"/>
        </w:rPr>
        <w:t>5.</w:t>
      </w:r>
      <w:r w:rsidRPr="00E53BDD">
        <w:rPr>
          <w:rFonts w:ascii="Times New Roman" w:eastAsia="仿宋_GB2312" w:hAnsi="Times New Roman" w:cs="仿宋" w:hint="eastAsia"/>
          <w:b/>
          <w:bCs/>
          <w:szCs w:val="32"/>
        </w:rPr>
        <w:t>加快新兴产业知识产权布局</w:t>
      </w:r>
      <w:bookmarkEnd w:id="218"/>
      <w:bookmarkEnd w:id="219"/>
      <w:bookmarkEnd w:id="220"/>
      <w:bookmarkEnd w:id="221"/>
      <w:bookmarkEnd w:id="222"/>
      <w:bookmarkEnd w:id="223"/>
      <w:bookmarkEnd w:id="224"/>
      <w:bookmarkEnd w:id="225"/>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强化新兴产业技术创新的知识产权导向，加大对生物医药、航空航天等新兴产业研发投入，将新兴产业知识产权作为科技立项、项目验收、成果评价与奖励的重要依据，支持企业通过自主创新和持续创新获得知识产权。围绕新兴产业，在专利产业化、专利数据库建设等方面给予重点支持。引导新兴产业知识产权科学布局，推动生物医药及健康产业、航空航天产业高质量发展（专栏</w:t>
      </w:r>
      <w:r w:rsidRPr="00E53BDD">
        <w:rPr>
          <w:rFonts w:eastAsia="仿宋_GB2312" w:cs="仿宋" w:hint="eastAsia"/>
          <w:sz w:val="32"/>
          <w:szCs w:val="32"/>
        </w:rPr>
        <w:t>1</w:t>
      </w:r>
      <w:r w:rsidRPr="00E53BDD">
        <w:rPr>
          <w:rFonts w:eastAsia="仿宋_GB2312" w:cs="仿宋" w:hint="eastAsia"/>
          <w:sz w:val="32"/>
          <w:szCs w:val="32"/>
        </w:rPr>
        <w:t>），密切跟踪新兴产业市场竞争和专利技术动向，适时发布新兴产业知识产权动态信息。制定新兴产业的知识产权发展战略，培育一批知识产权战略发展意识强、知识产权制度运用高效、知识产权综合管理规范、知识产权优势明显、引领支撑新兴产业发展的知识产权引领型企业，为新兴产业快速健康发展提供有力支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0"/>
      </w:tblGrid>
      <w:tr w:rsidR="00833E93">
        <w:trPr>
          <w:trHeight w:val="690"/>
          <w:jc w:val="center"/>
        </w:trPr>
        <w:tc>
          <w:tcPr>
            <w:tcW w:w="8290" w:type="dxa"/>
            <w:noWrap/>
            <w:vAlign w:val="center"/>
          </w:tcPr>
          <w:p w:rsidR="00833E93" w:rsidRDefault="00E53BDD">
            <w:pPr>
              <w:adjustRightInd w:val="0"/>
              <w:spacing w:line="560" w:lineRule="exact"/>
              <w:ind w:firstLineChars="0" w:firstLine="0"/>
              <w:jc w:val="center"/>
              <w:rPr>
                <w:rFonts w:ascii="方正黑体_GBK" w:eastAsia="黑体"/>
              </w:rPr>
            </w:pPr>
            <w:r>
              <w:rPr>
                <w:rFonts w:ascii="黑体" w:eastAsia="黑体" w:hAnsi="黑体" w:cs="黑体" w:hint="eastAsia"/>
                <w:sz w:val="28"/>
                <w:szCs w:val="28"/>
              </w:rPr>
              <w:t>专栏1加快生物医药及健康产业、航空航天产业知识产权布局</w:t>
            </w:r>
          </w:p>
        </w:tc>
      </w:tr>
      <w:tr w:rsidR="00833E93">
        <w:trPr>
          <w:trHeight w:val="416"/>
          <w:jc w:val="center"/>
        </w:trPr>
        <w:tc>
          <w:tcPr>
            <w:tcW w:w="8290" w:type="dxa"/>
            <w:noWrap/>
            <w:vAlign w:val="center"/>
          </w:tcPr>
          <w:p w:rsidR="00833E93" w:rsidRDefault="00E53BDD">
            <w:pPr>
              <w:adjustRightInd w:val="0"/>
              <w:spacing w:line="400" w:lineRule="exact"/>
              <w:ind w:firstLine="480"/>
              <w:rPr>
                <w:rFonts w:ascii="仿宋_GB2312" w:eastAsia="仿宋_GB2312" w:hAnsi="楷体_GB2312" w:cs="楷体_GB2312"/>
              </w:rPr>
            </w:pPr>
            <w:r>
              <w:rPr>
                <w:rFonts w:ascii="仿宋_GB2312" w:eastAsia="仿宋_GB2312" w:hAnsi="楷体_GB2312" w:cs="楷体_GB2312" w:hint="eastAsia"/>
              </w:rPr>
              <w:t>推进太仓生物医药及健康产业知识产权布局。围绕创新药物、前沿诊疗技术、高端医疗器械、公共卫生应急管理、生物制品及健康促进产品等重点发展方向，加快建设太仓市生物医药及健康产业。打造核心产业链，突破技术高峰，培育企业梯队，构建产业生态，加强技术创新与知识产权的融合，为企业提供具有前瞻性的专利布局和品牌布局，为企业的高价值专利培育提供专业化指导，着力提升太仓市生物医药及健康产业高质量发展，力争在十年内打造成为国际知名的生物医药健康产业基地。</w:t>
            </w:r>
          </w:p>
          <w:p w:rsidR="00833E93" w:rsidRDefault="00E53BDD">
            <w:pPr>
              <w:adjustRightInd w:val="0"/>
              <w:spacing w:line="400" w:lineRule="exact"/>
              <w:ind w:firstLine="480"/>
            </w:pPr>
            <w:r>
              <w:rPr>
                <w:rFonts w:ascii="仿宋_GB2312" w:eastAsia="仿宋_GB2312" w:hAnsi="楷体_GB2312" w:cs="楷体_GB2312" w:hint="eastAsia"/>
              </w:rPr>
              <w:t>推进太仓航空航天产业知识产权布局集约化。支持航空航天产业集群建设，根据产业集群布局创新链，通过创新链反哺产业链，达到创新与产业内生循环。围绕国家大飞机工程、两机专项、航天工程等产业</w:t>
            </w:r>
            <w:proofErr w:type="gramStart"/>
            <w:r>
              <w:rPr>
                <w:rFonts w:ascii="仿宋_GB2312" w:eastAsia="仿宋_GB2312" w:hAnsi="楷体_GB2312" w:cs="楷体_GB2312" w:hint="eastAsia"/>
              </w:rPr>
              <w:t>链重大</w:t>
            </w:r>
            <w:proofErr w:type="gramEnd"/>
            <w:r>
              <w:rPr>
                <w:rFonts w:ascii="仿宋_GB2312" w:eastAsia="仿宋_GB2312" w:hAnsi="楷体_GB2312" w:cs="楷体_GB2312" w:hint="eastAsia"/>
              </w:rPr>
              <w:t>项目展开专利布局。推动航空航天产业创新成果提质，鼓励技术创新与关键技术攻关，支持产业</w:t>
            </w:r>
            <w:proofErr w:type="gramStart"/>
            <w:r>
              <w:rPr>
                <w:rFonts w:ascii="仿宋_GB2312" w:eastAsia="仿宋_GB2312" w:hAnsi="楷体_GB2312" w:cs="楷体_GB2312" w:hint="eastAsia"/>
              </w:rPr>
              <w:t>链发展</w:t>
            </w:r>
            <w:proofErr w:type="gramEnd"/>
            <w:r>
              <w:rPr>
                <w:rFonts w:ascii="仿宋_GB2312" w:eastAsia="仿宋_GB2312" w:hAnsi="楷体_GB2312" w:cs="楷体_GB2312" w:hint="eastAsia"/>
              </w:rPr>
              <w:t>延伸，发挥知识产权强链、固链、</w:t>
            </w:r>
            <w:proofErr w:type="gramStart"/>
            <w:r>
              <w:rPr>
                <w:rFonts w:ascii="仿宋_GB2312" w:eastAsia="仿宋_GB2312" w:hAnsi="楷体_GB2312" w:cs="楷体_GB2312" w:hint="eastAsia"/>
              </w:rPr>
              <w:t>补链作用</w:t>
            </w:r>
            <w:proofErr w:type="gramEnd"/>
            <w:r>
              <w:rPr>
                <w:rFonts w:ascii="仿宋_GB2312" w:eastAsia="仿宋_GB2312" w:hAnsi="楷体_GB2312" w:cs="楷体_GB2312" w:hint="eastAsia"/>
              </w:rPr>
              <w:t>。实现航空航天产业创新生态提优，加快专业人才引育、拓宽知识产权融资渠道，鼓励保险机构丰富并优化知识产权保险产品，强化知识产权支撑产业发展作用。</w:t>
            </w:r>
          </w:p>
        </w:tc>
      </w:tr>
    </w:tbl>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26" w:name="_Toc16548"/>
      <w:bookmarkStart w:id="227" w:name="_Toc31648"/>
      <w:bookmarkStart w:id="228" w:name="_Toc1328"/>
      <w:bookmarkStart w:id="229" w:name="_Toc8519"/>
      <w:bookmarkStart w:id="230" w:name="_Toc1879"/>
      <w:bookmarkStart w:id="231" w:name="_Toc3244"/>
      <w:bookmarkStart w:id="232" w:name="_Toc8557"/>
      <w:bookmarkStart w:id="233" w:name="_Toc20694"/>
      <w:bookmarkStart w:id="234" w:name="_Toc18454"/>
      <w:r w:rsidRPr="00E53BDD">
        <w:rPr>
          <w:rFonts w:ascii="Times New Roman" w:eastAsia="仿宋_GB2312" w:hAnsi="Times New Roman" w:cs="仿宋" w:hint="eastAsia"/>
          <w:b/>
          <w:bCs/>
          <w:szCs w:val="32"/>
        </w:rPr>
        <w:t>6.</w:t>
      </w:r>
      <w:r w:rsidRPr="00E53BDD">
        <w:rPr>
          <w:rFonts w:ascii="Times New Roman" w:eastAsia="仿宋_GB2312" w:hAnsi="Times New Roman" w:cs="仿宋" w:hint="eastAsia"/>
          <w:b/>
          <w:bCs/>
          <w:szCs w:val="32"/>
        </w:rPr>
        <w:t>加强文化产业知识产权创新</w:t>
      </w:r>
      <w:bookmarkEnd w:id="226"/>
      <w:bookmarkEnd w:id="227"/>
      <w:bookmarkEnd w:id="228"/>
      <w:bookmarkEnd w:id="229"/>
      <w:bookmarkEnd w:id="230"/>
      <w:bookmarkEnd w:id="231"/>
      <w:bookmarkEnd w:id="232"/>
      <w:bookmarkEnd w:id="233"/>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提高文化产业知识产权创新能力，推动文化产业持续健康发展。营造文化创新社会环境，大力倡导尊重知识、崇尚创新的知识产权文化，为文化企业发展提供适宜的环境、相对健全的制度和人才保障机制，形成知识产权创造的良好氛围。加强知识产权文化与传统文化、创新文化深度融合，挖掘整合太仓优秀传统文化、创新文化资源，结合太仓发展优势、行业特点、地区和资源优势，加强创新能力建设，提高文化产业的核心竞争力。开展优秀传统文化产业改造提升工程，支持太仓肉松、太仓糟油、红木雕刻、双凤龙狮制作等有江南特色的技艺及相关企业改善条件、拓展经营、创新发展，支持传统工艺企业创意设计提升，支持老字号、老工艺、土特产、传统美食创新开发“‘江海造物’太仓文创”。形成文化产业创新发展的产业群，以知识产权创造为目标，选择关键的文化产业、重点的文化企业作为突破口，建立一批有代表性的文化创意产业群，推进数字文化与相关产业融合发展，支持文化产业园区调整结构、转型升级，形成自主版权和自主品牌。制定文化产业保护机制和规则，提升知识产权保护能力和水平，以知识产权法治建设的完善推动文化产业发展。</w:t>
      </w:r>
    </w:p>
    <w:p w:rsidR="00833E93" w:rsidRPr="00E53BDD" w:rsidRDefault="00E53BDD">
      <w:pPr>
        <w:pStyle w:val="2"/>
        <w:ind w:firstLine="640"/>
        <w:rPr>
          <w:rFonts w:eastAsia="楷体_GB2312"/>
        </w:rPr>
      </w:pPr>
      <w:bookmarkStart w:id="235" w:name="_Toc8962"/>
      <w:bookmarkStart w:id="236" w:name="_Toc20434"/>
      <w:bookmarkStart w:id="237" w:name="_Toc25956"/>
      <w:bookmarkStart w:id="238" w:name="_Toc6429"/>
      <w:bookmarkStart w:id="239" w:name="_Toc4972"/>
      <w:bookmarkStart w:id="240" w:name="_Toc29894"/>
      <w:bookmarkStart w:id="241" w:name="_Toc3794"/>
      <w:bookmarkStart w:id="242" w:name="_Toc9051"/>
      <w:bookmarkStart w:id="243" w:name="_Toc7450"/>
      <w:bookmarkEnd w:id="234"/>
      <w:r w:rsidRPr="00E53BDD">
        <w:rPr>
          <w:rFonts w:eastAsia="楷体_GB2312" w:hint="eastAsia"/>
        </w:rPr>
        <w:t>促进知识产权多元化运营</w:t>
      </w:r>
      <w:bookmarkEnd w:id="235"/>
      <w:bookmarkEnd w:id="236"/>
      <w:bookmarkEnd w:id="237"/>
      <w:bookmarkEnd w:id="238"/>
      <w:bookmarkEnd w:id="239"/>
      <w:bookmarkEnd w:id="240"/>
      <w:bookmarkEnd w:id="241"/>
      <w:bookmarkEnd w:id="242"/>
      <w:bookmarkEnd w:id="243"/>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44" w:name="_Toc31129"/>
      <w:bookmarkStart w:id="245" w:name="_Toc14773"/>
      <w:bookmarkStart w:id="246" w:name="_Toc18248"/>
      <w:bookmarkStart w:id="247" w:name="_Toc20819"/>
      <w:bookmarkStart w:id="248" w:name="_Toc29744"/>
      <w:bookmarkStart w:id="249" w:name="_Toc22064"/>
      <w:bookmarkStart w:id="250" w:name="_Toc11017"/>
      <w:bookmarkStart w:id="251" w:name="_Toc15113"/>
      <w:bookmarkStart w:id="252" w:name="_Toc4111"/>
      <w:r w:rsidRPr="00E53BDD">
        <w:rPr>
          <w:rFonts w:ascii="Times New Roman" w:eastAsia="仿宋_GB2312" w:hAnsi="Times New Roman" w:cs="仿宋" w:hint="eastAsia"/>
          <w:b/>
          <w:bCs/>
          <w:szCs w:val="32"/>
        </w:rPr>
        <w:t>7.</w:t>
      </w:r>
      <w:r w:rsidRPr="00E53BDD">
        <w:rPr>
          <w:rFonts w:ascii="Times New Roman" w:eastAsia="仿宋_GB2312" w:hAnsi="Times New Roman" w:cs="仿宋" w:hint="eastAsia"/>
          <w:b/>
          <w:bCs/>
          <w:szCs w:val="32"/>
        </w:rPr>
        <w:t>完善知识产权运营机制</w:t>
      </w:r>
      <w:bookmarkEnd w:id="244"/>
      <w:bookmarkEnd w:id="245"/>
      <w:bookmarkEnd w:id="246"/>
      <w:bookmarkEnd w:id="247"/>
      <w:bookmarkEnd w:id="248"/>
      <w:bookmarkEnd w:id="249"/>
      <w:bookmarkEnd w:id="250"/>
      <w:bookmarkEnd w:id="251"/>
      <w:bookmarkEnd w:id="252"/>
    </w:p>
    <w:p w:rsidR="00833E93" w:rsidRDefault="00E53BDD">
      <w:pPr>
        <w:spacing w:line="560" w:lineRule="exact"/>
        <w:ind w:firstLine="640"/>
      </w:pPr>
      <w:r w:rsidRPr="00E53BDD">
        <w:rPr>
          <w:rFonts w:eastAsia="仿宋_GB2312" w:cs="仿宋" w:hint="eastAsia"/>
          <w:sz w:val="32"/>
          <w:szCs w:val="32"/>
        </w:rPr>
        <w:t>完善落实知识产权金融扶持政策措施，建立健全工作体系和服务机制，优化知识产权金融发展环境，促进企业创新发展。加强对企业知识产权融资的指导和服务，开展针对企业知识产权质押融资的宣讲和培训，使企业深入了解相关扶持政策、融资渠道等信息。探索设立产业知识产权联盟、专利池共享机制及相互许可机制，充分利用各地产业发展优势，集中产业链上中下游企业，实现企业之间高价值专利资源互通，在新形势下激活产业知识产权运营新要素。</w:t>
      </w:r>
    </w:p>
    <w:p w:rsidR="00833E93" w:rsidRPr="00E53BDD" w:rsidRDefault="00E53BDD">
      <w:pPr>
        <w:pStyle w:val="2"/>
        <w:numPr>
          <w:ilvl w:val="1"/>
          <w:numId w:val="0"/>
        </w:numPr>
        <w:ind w:firstLineChars="200" w:firstLine="643"/>
        <w:rPr>
          <w:rFonts w:ascii="Times New Roman" w:eastAsia="仿宋_GB2312" w:hAnsi="Times New Roman" w:cs="仿宋"/>
          <w:b/>
          <w:bCs/>
          <w:szCs w:val="32"/>
        </w:rPr>
      </w:pPr>
      <w:bookmarkStart w:id="253" w:name="_Toc20001"/>
      <w:bookmarkStart w:id="254" w:name="_Toc14373"/>
      <w:bookmarkStart w:id="255" w:name="_Toc4965"/>
      <w:bookmarkStart w:id="256" w:name="_Toc23484"/>
      <w:bookmarkStart w:id="257" w:name="_Toc19473"/>
      <w:bookmarkStart w:id="258" w:name="_Toc10901"/>
      <w:bookmarkStart w:id="259" w:name="_Toc30320"/>
      <w:bookmarkStart w:id="260" w:name="_Toc25225"/>
      <w:bookmarkStart w:id="261" w:name="_Toc2289"/>
      <w:r w:rsidRPr="00E53BDD">
        <w:rPr>
          <w:rFonts w:ascii="Times New Roman" w:eastAsia="仿宋_GB2312" w:hAnsi="Times New Roman" w:cs="仿宋" w:hint="eastAsia"/>
          <w:b/>
          <w:bCs/>
          <w:szCs w:val="32"/>
        </w:rPr>
        <w:t>8.</w:t>
      </w:r>
      <w:r w:rsidRPr="00E53BDD">
        <w:rPr>
          <w:rFonts w:ascii="Times New Roman" w:eastAsia="仿宋_GB2312" w:hAnsi="Times New Roman" w:cs="仿宋" w:hint="eastAsia"/>
          <w:b/>
          <w:bCs/>
          <w:szCs w:val="32"/>
        </w:rPr>
        <w:t>推动知识产权与资本融合</w:t>
      </w:r>
      <w:bookmarkEnd w:id="253"/>
      <w:bookmarkEnd w:id="254"/>
      <w:bookmarkEnd w:id="255"/>
      <w:bookmarkEnd w:id="256"/>
      <w:bookmarkEnd w:id="257"/>
      <w:bookmarkEnd w:id="258"/>
      <w:bookmarkEnd w:id="259"/>
      <w:bookmarkEnd w:id="260"/>
      <w:bookmarkEnd w:id="261"/>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引导银行、保险、担保、融资等金融服务机构创新知识产权金融产品，拓宽知识产权融资业务，扩大金融服务供给。支持金融服务机构探索知识产权质押融资、保险、证券化等知识产权融资模式，进一步拓宽企业融资渠道，减轻企业融资成本，助力企业解决融资难题。开展知识产权金融“入园惠企”行动，组织银企对接活动，畅通银行和企业的信息交流渠道，加强信息共享，激发企业知识产权工作积极性。结合太仓市重点产业企业需求，推动保险公司开展知识产权海外侵权责任险和境外展会专利纠纷险等新业务。大力推动知识产权资本化，鼓励权利人以知识产权作价入股，引导企业对拥有知识产权的企业进行收购并购，帮助企业拓宽融资渠道。</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262" w:name="_Toc3178"/>
      <w:bookmarkStart w:id="263" w:name="_Toc12050"/>
      <w:bookmarkStart w:id="264" w:name="_Toc12773"/>
      <w:bookmarkStart w:id="265" w:name="_Toc18932"/>
      <w:bookmarkStart w:id="266" w:name="_Toc24183"/>
      <w:bookmarkStart w:id="267" w:name="_Toc21076"/>
      <w:bookmarkStart w:id="268" w:name="_Toc15873"/>
      <w:bookmarkStart w:id="269" w:name="_Toc18315"/>
      <w:bookmarkStart w:id="270" w:name="_Toc12391"/>
      <w:r w:rsidRPr="00E53BDD">
        <w:rPr>
          <w:rFonts w:ascii="Times New Roman" w:eastAsia="仿宋_GB2312" w:hAnsi="Times New Roman" w:cs="仿宋" w:hint="eastAsia"/>
          <w:b/>
          <w:bCs/>
          <w:sz w:val="30"/>
          <w:szCs w:val="30"/>
        </w:rPr>
        <w:t>9.</w:t>
      </w:r>
      <w:r w:rsidRPr="00E53BDD">
        <w:rPr>
          <w:rFonts w:ascii="Times New Roman" w:eastAsia="仿宋_GB2312" w:hAnsi="Times New Roman" w:cs="仿宋" w:hint="eastAsia"/>
          <w:b/>
          <w:bCs/>
          <w:sz w:val="30"/>
          <w:szCs w:val="30"/>
        </w:rPr>
        <w:t>促进知识产权成果转化</w:t>
      </w:r>
      <w:bookmarkEnd w:id="262"/>
      <w:bookmarkEnd w:id="263"/>
      <w:bookmarkEnd w:id="264"/>
      <w:bookmarkEnd w:id="265"/>
      <w:bookmarkEnd w:id="266"/>
      <w:bookmarkEnd w:id="267"/>
      <w:bookmarkEnd w:id="268"/>
      <w:bookmarkEnd w:id="269"/>
      <w:bookmarkEnd w:id="270"/>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依托西北工业大学长三角研究院等高校资源，建立知识产权产学研服协同发展新机制，培育高价值专利，强化重点产业和企业专利布局。引导企业与高校院所建立深度合作，发挥高校、科研院所的人才优势，激发企业创新发展需求，促进科技成果向现实生产力转化。引导国内外高校院所、科研机构项目落户太仓，开展专利自由实施许可，提高转化实施的精准性和成功率。</w:t>
      </w:r>
    </w:p>
    <w:p w:rsidR="00833E93" w:rsidRPr="00E53BDD" w:rsidRDefault="00E53BDD">
      <w:pPr>
        <w:pStyle w:val="2"/>
        <w:ind w:firstLine="640"/>
        <w:rPr>
          <w:rFonts w:eastAsia="楷体_GB2312"/>
        </w:rPr>
      </w:pPr>
      <w:bookmarkStart w:id="271" w:name="_Toc24772"/>
      <w:bookmarkStart w:id="272" w:name="_Toc12001"/>
      <w:bookmarkStart w:id="273" w:name="_Toc31641"/>
      <w:bookmarkStart w:id="274" w:name="_Toc12643"/>
      <w:bookmarkStart w:id="275" w:name="_Toc5247"/>
      <w:bookmarkStart w:id="276" w:name="_Toc24880"/>
      <w:bookmarkStart w:id="277" w:name="_Toc16180"/>
      <w:bookmarkStart w:id="278" w:name="_Toc32593"/>
      <w:bookmarkStart w:id="279" w:name="_Toc4318"/>
      <w:r w:rsidRPr="00E53BDD">
        <w:rPr>
          <w:rFonts w:eastAsia="楷体_GB2312"/>
        </w:rPr>
        <w:t>强化知识产权</w:t>
      </w:r>
      <w:r w:rsidRPr="00E53BDD">
        <w:rPr>
          <w:rFonts w:eastAsia="楷体_GB2312" w:hint="eastAsia"/>
        </w:rPr>
        <w:t>全链条</w:t>
      </w:r>
      <w:r w:rsidRPr="00E53BDD">
        <w:rPr>
          <w:rFonts w:eastAsia="楷体_GB2312"/>
        </w:rPr>
        <w:t>保护</w:t>
      </w:r>
      <w:bookmarkEnd w:id="271"/>
      <w:bookmarkEnd w:id="272"/>
      <w:bookmarkEnd w:id="273"/>
      <w:bookmarkEnd w:id="274"/>
      <w:bookmarkEnd w:id="275"/>
      <w:bookmarkEnd w:id="276"/>
      <w:bookmarkEnd w:id="277"/>
      <w:bookmarkEnd w:id="278"/>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280" w:name="_Toc14388"/>
      <w:bookmarkStart w:id="281" w:name="_Toc282"/>
      <w:bookmarkStart w:id="282" w:name="_Toc6617"/>
      <w:bookmarkStart w:id="283" w:name="_Toc5483"/>
      <w:bookmarkStart w:id="284" w:name="_Toc29566"/>
      <w:bookmarkStart w:id="285" w:name="_Toc6358"/>
      <w:bookmarkStart w:id="286" w:name="_Toc2786"/>
      <w:bookmarkStart w:id="287" w:name="_Toc31912"/>
      <w:r w:rsidRPr="00E53BDD">
        <w:rPr>
          <w:rFonts w:ascii="Times New Roman" w:eastAsia="仿宋_GB2312" w:hAnsi="Times New Roman" w:cs="仿宋" w:hint="eastAsia"/>
          <w:b/>
          <w:bCs/>
          <w:sz w:val="30"/>
          <w:szCs w:val="30"/>
        </w:rPr>
        <w:t>10.</w:t>
      </w:r>
      <w:r w:rsidRPr="00E53BDD">
        <w:rPr>
          <w:rFonts w:ascii="Times New Roman" w:eastAsia="仿宋_GB2312" w:hAnsi="Times New Roman" w:cs="仿宋" w:hint="eastAsia"/>
          <w:b/>
          <w:bCs/>
          <w:sz w:val="30"/>
          <w:szCs w:val="30"/>
        </w:rPr>
        <w:t>完善知识产权大保护机制</w:t>
      </w:r>
      <w:bookmarkEnd w:id="280"/>
      <w:bookmarkEnd w:id="281"/>
      <w:bookmarkEnd w:id="282"/>
      <w:bookmarkEnd w:id="283"/>
      <w:bookmarkEnd w:id="284"/>
      <w:bookmarkEnd w:id="285"/>
      <w:bookmarkEnd w:id="286"/>
      <w:bookmarkEnd w:id="287"/>
    </w:p>
    <w:p w:rsidR="00833E93" w:rsidRPr="00E53BDD" w:rsidRDefault="00E53BDD">
      <w:pPr>
        <w:spacing w:line="560" w:lineRule="exact"/>
        <w:ind w:firstLine="640"/>
        <w:rPr>
          <w:rFonts w:eastAsia="仿宋_GB2312" w:cs="仿宋"/>
          <w:sz w:val="32"/>
          <w:szCs w:val="32"/>
        </w:rPr>
      </w:pPr>
      <w:proofErr w:type="gramStart"/>
      <w:r w:rsidRPr="00E53BDD">
        <w:rPr>
          <w:rFonts w:eastAsia="仿宋_GB2312" w:cs="仿宋" w:hint="eastAsia"/>
          <w:sz w:val="32"/>
          <w:szCs w:val="32"/>
        </w:rPr>
        <w:t>构建</w:t>
      </w:r>
      <w:r w:rsidRPr="00E53BDD">
        <w:rPr>
          <w:rFonts w:eastAsia="仿宋_GB2312" w:cs="仿宋"/>
          <w:sz w:val="32"/>
          <w:szCs w:val="32"/>
        </w:rPr>
        <w:t>全市</w:t>
      </w:r>
      <w:proofErr w:type="gramEnd"/>
      <w:r w:rsidRPr="00E53BDD">
        <w:rPr>
          <w:rFonts w:eastAsia="仿宋_GB2312" w:cs="仿宋"/>
          <w:sz w:val="32"/>
          <w:szCs w:val="32"/>
        </w:rPr>
        <w:t>整体协调、上下联动、互为补充、多位一体</w:t>
      </w:r>
      <w:r w:rsidRPr="00E53BDD">
        <w:rPr>
          <w:rFonts w:eastAsia="仿宋_GB2312" w:cs="仿宋" w:hint="eastAsia"/>
          <w:sz w:val="32"/>
          <w:szCs w:val="32"/>
        </w:rPr>
        <w:t>的知识产权</w:t>
      </w:r>
      <w:r w:rsidRPr="00E53BDD">
        <w:rPr>
          <w:rFonts w:eastAsia="仿宋_GB2312" w:cs="仿宋"/>
          <w:sz w:val="32"/>
          <w:szCs w:val="32"/>
        </w:rPr>
        <w:t>联动</w:t>
      </w:r>
      <w:r w:rsidRPr="00E53BDD">
        <w:rPr>
          <w:rFonts w:eastAsia="仿宋_GB2312" w:cs="仿宋" w:hint="eastAsia"/>
          <w:sz w:val="32"/>
          <w:szCs w:val="32"/>
        </w:rPr>
        <w:t>保护体系，深化市场监管、法院、检察院、公安等部门协同合作。加快苏州知识产权保护中心太仓分中心与区镇、产业园区知识产权指导工作站建设步伐，形成覆盖全市、深入全面的知识产权保护网络。推动社会力量参与知识产权保护工作，构建知识产权行政执法、司法审判、仲裁调解、社会保护系统工程，“十四五”期间知识产权保护社会满意度达</w:t>
      </w:r>
      <w:r w:rsidRPr="00E53BDD">
        <w:rPr>
          <w:rFonts w:eastAsia="仿宋_GB2312" w:cs="仿宋" w:hint="eastAsia"/>
          <w:sz w:val="32"/>
          <w:szCs w:val="32"/>
        </w:rPr>
        <w:t>85</w:t>
      </w:r>
      <w:r w:rsidRPr="00E53BDD">
        <w:rPr>
          <w:rFonts w:eastAsia="仿宋_GB2312" w:cs="仿宋" w:hint="eastAsia"/>
          <w:sz w:val="32"/>
          <w:szCs w:val="32"/>
        </w:rPr>
        <w:t>分以上。推进江苏知识产权强省建设区域示范工作，确保示范创建工作顺利验收。</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288" w:name="_Toc3205"/>
      <w:bookmarkStart w:id="289" w:name="_Toc20032"/>
      <w:bookmarkStart w:id="290" w:name="_Toc4051"/>
      <w:bookmarkStart w:id="291" w:name="_Toc4276"/>
      <w:bookmarkStart w:id="292" w:name="_Toc32278"/>
      <w:bookmarkStart w:id="293" w:name="_Toc22031"/>
      <w:bookmarkStart w:id="294" w:name="_Toc2151"/>
      <w:bookmarkStart w:id="295" w:name="_Toc774"/>
      <w:r w:rsidRPr="00E53BDD">
        <w:rPr>
          <w:rFonts w:ascii="Times New Roman" w:eastAsia="仿宋_GB2312" w:hAnsi="Times New Roman" w:cs="仿宋" w:hint="eastAsia"/>
          <w:b/>
          <w:bCs/>
          <w:sz w:val="30"/>
          <w:szCs w:val="30"/>
        </w:rPr>
        <w:t>11.</w:t>
      </w:r>
      <w:r w:rsidRPr="00E53BDD">
        <w:rPr>
          <w:rFonts w:ascii="Times New Roman" w:eastAsia="仿宋_GB2312" w:hAnsi="Times New Roman" w:cs="仿宋" w:hint="eastAsia"/>
          <w:b/>
          <w:bCs/>
          <w:sz w:val="30"/>
          <w:szCs w:val="30"/>
        </w:rPr>
        <w:t>提升知识产权保护</w:t>
      </w:r>
      <w:bookmarkEnd w:id="288"/>
      <w:bookmarkEnd w:id="289"/>
      <w:bookmarkEnd w:id="290"/>
      <w:bookmarkEnd w:id="291"/>
      <w:bookmarkEnd w:id="292"/>
      <w:bookmarkEnd w:id="293"/>
      <w:r w:rsidRPr="00E53BDD">
        <w:rPr>
          <w:rFonts w:ascii="Times New Roman" w:eastAsia="仿宋_GB2312" w:hAnsi="Times New Roman" w:cs="仿宋" w:hint="eastAsia"/>
          <w:b/>
          <w:bCs/>
          <w:sz w:val="30"/>
          <w:szCs w:val="30"/>
        </w:rPr>
        <w:t>效能</w:t>
      </w:r>
      <w:bookmarkEnd w:id="294"/>
      <w:bookmarkEnd w:id="295"/>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完善知识产权“两法衔接”工作机制建设，依托检察院、法院派驻市场监管局“检察室”、巡回审判点，探索知识产权司法与行政联动保护工作机制。严格知识产权行政保护，高质量实施《江苏省知识产权行政保护工作方案》，加强反不正当竞争执法工作，严厉打击侵犯商业秘密、商标假冒侵权等行为整治力度，加大对知识产权侵权集中领域和风险易发领域监督检查，推进专利纠纷行政裁决、商标执法查办向上请示等机制常态化运行。加大知识产权司法保护力度，在个案中合理分配举证责任，以知识产权市场价格为指引，充分关注侵权人主观过错程度，体现法定赔偿中的惩罚性</w:t>
      </w:r>
      <w:proofErr w:type="gramStart"/>
      <w:r w:rsidRPr="00E53BDD">
        <w:rPr>
          <w:rFonts w:eastAsia="仿宋_GB2312" w:cs="仿宋" w:hint="eastAsia"/>
          <w:sz w:val="32"/>
          <w:szCs w:val="32"/>
        </w:rPr>
        <w:t>考量</w:t>
      </w:r>
      <w:proofErr w:type="gramEnd"/>
      <w:r w:rsidRPr="00E53BDD">
        <w:rPr>
          <w:rFonts w:eastAsia="仿宋_GB2312" w:cs="仿宋" w:hint="eastAsia"/>
          <w:sz w:val="32"/>
          <w:szCs w:val="32"/>
        </w:rPr>
        <w:t>因素，增强权利人维权获得感，“十四五”期间知识产权民事一审案件服判息诉率达</w:t>
      </w:r>
      <w:r w:rsidRPr="00E53BDD">
        <w:rPr>
          <w:rFonts w:eastAsia="仿宋_GB2312" w:cs="仿宋" w:hint="eastAsia"/>
          <w:sz w:val="32"/>
          <w:szCs w:val="32"/>
        </w:rPr>
        <w:t>93%</w:t>
      </w:r>
      <w:r w:rsidRPr="00E53BDD">
        <w:rPr>
          <w:rFonts w:eastAsia="仿宋_GB2312" w:cs="仿宋" w:hint="eastAsia"/>
          <w:sz w:val="32"/>
          <w:szCs w:val="32"/>
        </w:rPr>
        <w:t>，提升知识产权审判质效，锻造高水平办案团队。</w:t>
      </w:r>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强化商业秘密保护“民、行、刑”协作</w:t>
      </w:r>
      <w:r w:rsidRPr="00E53BDD">
        <w:rPr>
          <w:rFonts w:eastAsia="仿宋_GB2312" w:cs="仿宋" w:hint="eastAsia"/>
          <w:sz w:val="32"/>
          <w:szCs w:val="32"/>
        </w:rPr>
        <w:t>,</w:t>
      </w:r>
      <w:r w:rsidRPr="00E53BDD">
        <w:rPr>
          <w:rFonts w:eastAsia="仿宋_GB2312" w:cs="仿宋" w:hint="eastAsia"/>
          <w:sz w:val="32"/>
          <w:szCs w:val="32"/>
        </w:rPr>
        <w:t>开展商业秘密保护示范点、保护基地建设，积极对接各类社会资源，推进知识产权侵权纠纷技术检验鉴定工作。支持企业积极申报《苏州市知识产权重点企业保护名录》，加强重点企业知识产权保护监测。推进地理标志保护与乡村振兴战略深度融合，实现地理标志赋能地方特色经济发展。</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296" w:name="_Toc17115"/>
      <w:bookmarkStart w:id="297" w:name="_Toc16337"/>
      <w:bookmarkStart w:id="298" w:name="_Toc22255"/>
      <w:bookmarkStart w:id="299" w:name="_Toc23314"/>
      <w:bookmarkStart w:id="300" w:name="_Toc2097"/>
      <w:bookmarkStart w:id="301" w:name="_Toc32685"/>
      <w:bookmarkStart w:id="302" w:name="_Toc31047"/>
      <w:bookmarkStart w:id="303" w:name="_Toc17549"/>
      <w:r w:rsidRPr="00E53BDD">
        <w:rPr>
          <w:rFonts w:ascii="Times New Roman" w:eastAsia="仿宋_GB2312" w:hAnsi="Times New Roman" w:cs="仿宋" w:hint="eastAsia"/>
          <w:b/>
          <w:bCs/>
          <w:sz w:val="30"/>
          <w:szCs w:val="30"/>
        </w:rPr>
        <w:t>12.</w:t>
      </w:r>
      <w:r w:rsidRPr="00E53BDD">
        <w:rPr>
          <w:rFonts w:ascii="Times New Roman" w:eastAsia="仿宋_GB2312" w:hAnsi="Times New Roman" w:cs="仿宋" w:hint="eastAsia"/>
          <w:b/>
          <w:bCs/>
          <w:sz w:val="30"/>
          <w:szCs w:val="30"/>
        </w:rPr>
        <w:t>构建知识产权长效保护机制</w:t>
      </w:r>
      <w:bookmarkEnd w:id="296"/>
      <w:bookmarkEnd w:id="297"/>
      <w:bookmarkEnd w:id="298"/>
      <w:bookmarkEnd w:id="299"/>
      <w:bookmarkEnd w:id="300"/>
      <w:bookmarkEnd w:id="301"/>
      <w:bookmarkEnd w:id="302"/>
      <w:bookmarkEnd w:id="303"/>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探索知识产权信用监管，归集汇总知识产权行政执法、司法审判信息，形成市场主体重复侵权、恶意诉讼等违法行为“失信名单”及信用修复制度。深入推进“正版正货”承诺计划，发挥示范标杆作用，逐步形成专利、商标、著作权、商业秘密等领域知识产权</w:t>
      </w:r>
      <w:proofErr w:type="gramStart"/>
      <w:r w:rsidRPr="00E53BDD">
        <w:rPr>
          <w:rFonts w:eastAsia="仿宋_GB2312" w:cs="仿宋" w:hint="eastAsia"/>
          <w:sz w:val="32"/>
          <w:szCs w:val="32"/>
        </w:rPr>
        <w:t>不</w:t>
      </w:r>
      <w:proofErr w:type="gramEnd"/>
      <w:r w:rsidRPr="00E53BDD">
        <w:rPr>
          <w:rFonts w:eastAsia="仿宋_GB2312" w:cs="仿宋" w:hint="eastAsia"/>
          <w:sz w:val="32"/>
          <w:szCs w:val="32"/>
        </w:rPr>
        <w:t>侵权承诺白名单。推进知识产权监管现代化升级，合理利用大数据、</w:t>
      </w:r>
      <w:r w:rsidRPr="00E53BDD">
        <w:rPr>
          <w:rFonts w:eastAsia="仿宋_GB2312" w:cs="仿宋" w:hint="eastAsia"/>
          <w:sz w:val="32"/>
          <w:szCs w:val="32"/>
        </w:rPr>
        <w:t>5G</w:t>
      </w:r>
      <w:r w:rsidRPr="00E53BDD">
        <w:rPr>
          <w:rFonts w:eastAsia="仿宋_GB2312" w:cs="仿宋" w:hint="eastAsia"/>
          <w:sz w:val="32"/>
          <w:szCs w:val="32"/>
        </w:rPr>
        <w:t>、区块链、人工智能等技术，优化太仓专利分析监控系统等技术平台，逐步实现商标抢注、假冒专利、作品侵权等领域智能化监管。畅通知识产权侵权投诉举报渠道，规范受理处办程序，提高核查、办结效率。</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04" w:name="_Toc7486"/>
      <w:bookmarkStart w:id="305" w:name="_Toc6385"/>
      <w:bookmarkStart w:id="306" w:name="_Toc15036"/>
      <w:bookmarkStart w:id="307" w:name="_Toc12653"/>
      <w:bookmarkStart w:id="308" w:name="_Toc9755"/>
      <w:bookmarkStart w:id="309" w:name="_Toc22113"/>
      <w:bookmarkStart w:id="310" w:name="_Toc6425"/>
      <w:bookmarkStart w:id="311" w:name="_Toc30746"/>
      <w:r w:rsidRPr="00E53BDD">
        <w:rPr>
          <w:rFonts w:ascii="Times New Roman" w:eastAsia="仿宋_GB2312" w:hAnsi="Times New Roman" w:cs="仿宋" w:hint="eastAsia"/>
          <w:b/>
          <w:bCs/>
          <w:sz w:val="30"/>
          <w:szCs w:val="30"/>
        </w:rPr>
        <w:t>13.</w:t>
      </w:r>
      <w:r w:rsidRPr="00E53BDD">
        <w:rPr>
          <w:rFonts w:ascii="Times New Roman" w:eastAsia="仿宋_GB2312" w:hAnsi="Times New Roman" w:cs="仿宋" w:hint="eastAsia"/>
          <w:b/>
          <w:bCs/>
          <w:sz w:val="30"/>
          <w:szCs w:val="30"/>
        </w:rPr>
        <w:t>健全知识产权纠纷多元化解机制</w:t>
      </w:r>
      <w:bookmarkEnd w:id="304"/>
      <w:bookmarkEnd w:id="305"/>
      <w:bookmarkEnd w:id="306"/>
      <w:bookmarkEnd w:id="307"/>
      <w:bookmarkEnd w:id="308"/>
      <w:bookmarkEnd w:id="309"/>
      <w:bookmarkEnd w:id="310"/>
      <w:bookmarkEnd w:id="311"/>
    </w:p>
    <w:p w:rsidR="00833E93" w:rsidRPr="00E53BDD" w:rsidRDefault="00E53BDD">
      <w:pPr>
        <w:pStyle w:val="ad"/>
        <w:ind w:firstLine="640"/>
        <w:rPr>
          <w:rFonts w:eastAsia="仿宋_GB2312" w:hint="default"/>
        </w:rPr>
      </w:pPr>
      <w:r w:rsidRPr="00E53BDD">
        <w:rPr>
          <w:rFonts w:eastAsia="仿宋_GB2312"/>
        </w:rPr>
        <w:t>完善知识产权纠纷人民调解制度，探索在区镇司法所开展知识产权纠纷人民调解，建立知识产权纠纷市镇两级调解工作机制，提高知识产权纠纷解决效率。成立太仓市知识产权保护协会，引导律师协会、行业协会、重点企业共同推进知识产权公益维权援助、民间调解专业队伍建设，引导社会力量参与知识产权纠纷调解工作。构建多元化知识产权纠纷非诉化解机制，畅通知识产权维权与救济渠道，提升创新主体维权与纠纷应对能力，发挥社会力量协同高效保护优势。</w:t>
      </w:r>
    </w:p>
    <w:p w:rsidR="00833E93" w:rsidRPr="00E53BDD" w:rsidRDefault="00E53BDD">
      <w:pPr>
        <w:pStyle w:val="2"/>
        <w:ind w:firstLine="640"/>
        <w:rPr>
          <w:rFonts w:eastAsia="楷体_GB2312"/>
        </w:rPr>
      </w:pPr>
      <w:bookmarkStart w:id="312" w:name="_Toc3781"/>
      <w:bookmarkStart w:id="313" w:name="_Toc13180"/>
      <w:bookmarkStart w:id="314" w:name="_Toc16487"/>
      <w:bookmarkStart w:id="315" w:name="_Toc27601"/>
      <w:bookmarkStart w:id="316" w:name="_Toc16573"/>
      <w:bookmarkStart w:id="317" w:name="_Toc28568"/>
      <w:bookmarkStart w:id="318" w:name="_Toc15743"/>
      <w:bookmarkStart w:id="319" w:name="_Toc10432"/>
      <w:r w:rsidRPr="00E53BDD">
        <w:rPr>
          <w:rFonts w:eastAsia="楷体_GB2312" w:hint="eastAsia"/>
        </w:rPr>
        <w:t>优化知识产权服务体系</w:t>
      </w:r>
      <w:bookmarkEnd w:id="279"/>
      <w:bookmarkEnd w:id="312"/>
      <w:bookmarkEnd w:id="313"/>
      <w:bookmarkEnd w:id="314"/>
      <w:bookmarkEnd w:id="315"/>
      <w:bookmarkEnd w:id="316"/>
      <w:bookmarkEnd w:id="317"/>
      <w:bookmarkEnd w:id="318"/>
      <w:bookmarkEnd w:id="319"/>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20" w:name="_Toc12613"/>
      <w:bookmarkStart w:id="321" w:name="_Toc36"/>
      <w:bookmarkStart w:id="322" w:name="_Toc23959"/>
      <w:bookmarkStart w:id="323" w:name="_Toc10971"/>
      <w:bookmarkStart w:id="324" w:name="_Toc5217"/>
      <w:bookmarkStart w:id="325" w:name="_Toc8138"/>
      <w:bookmarkStart w:id="326" w:name="_Toc856"/>
      <w:bookmarkStart w:id="327" w:name="_Toc26616"/>
      <w:bookmarkStart w:id="328" w:name="_Toc6937"/>
      <w:r w:rsidRPr="00E53BDD">
        <w:rPr>
          <w:rFonts w:ascii="Times New Roman" w:eastAsia="仿宋_GB2312" w:hAnsi="Times New Roman" w:cs="仿宋" w:hint="eastAsia"/>
          <w:b/>
          <w:bCs/>
          <w:sz w:val="30"/>
          <w:szCs w:val="30"/>
        </w:rPr>
        <w:t>14.</w:t>
      </w:r>
      <w:r w:rsidRPr="00E53BDD">
        <w:rPr>
          <w:rFonts w:ascii="Times New Roman" w:eastAsia="仿宋_GB2312" w:hAnsi="Times New Roman" w:cs="仿宋" w:hint="eastAsia"/>
          <w:b/>
          <w:bCs/>
          <w:sz w:val="30"/>
          <w:szCs w:val="30"/>
        </w:rPr>
        <w:t>完善知识产权公共服务平台</w:t>
      </w:r>
      <w:bookmarkEnd w:id="320"/>
      <w:bookmarkEnd w:id="321"/>
      <w:bookmarkEnd w:id="322"/>
      <w:bookmarkEnd w:id="323"/>
      <w:bookmarkEnd w:id="324"/>
      <w:bookmarkEnd w:id="325"/>
      <w:bookmarkEnd w:id="326"/>
      <w:bookmarkEnd w:id="327"/>
      <w:bookmarkEnd w:id="328"/>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不断优化完善知识产权公共服务能力，为创新主体提供高质量服务。建设苏州知识产权保护中心太仓分中心（专栏</w:t>
      </w:r>
      <w:r w:rsidRPr="00E53BDD">
        <w:rPr>
          <w:rFonts w:eastAsia="仿宋_GB2312" w:cs="仿宋" w:hint="eastAsia"/>
          <w:sz w:val="32"/>
          <w:szCs w:val="32"/>
        </w:rPr>
        <w:t>2</w:t>
      </w:r>
      <w:r w:rsidRPr="00E53BDD">
        <w:rPr>
          <w:rFonts w:eastAsia="仿宋_GB2312" w:cs="仿宋" w:hint="eastAsia"/>
          <w:sz w:val="32"/>
          <w:szCs w:val="32"/>
        </w:rPr>
        <w:t>），聚焦太仓航空航天、生物医药、智能制造等重点产业，为企业提供“一站式”知识产权纠纷快速解决方案，以及海外知识产权纠纷应对指导。围绕太仓分中心主要业务工作，设立知识产权保护指导站，加强商标、商业秘密、地理标志等知识产权保护工作，将服务工作向全市</w:t>
      </w:r>
      <w:r w:rsidRPr="00E53BDD">
        <w:rPr>
          <w:rFonts w:eastAsia="仿宋_GB2312" w:cs="仿宋" w:hint="eastAsia"/>
          <w:sz w:val="32"/>
          <w:szCs w:val="32"/>
        </w:rPr>
        <w:t>7</w:t>
      </w:r>
      <w:r w:rsidRPr="00E53BDD">
        <w:rPr>
          <w:rFonts w:eastAsia="仿宋_GB2312" w:cs="仿宋" w:hint="eastAsia"/>
          <w:sz w:val="32"/>
          <w:szCs w:val="32"/>
        </w:rPr>
        <w:t>个区镇延伸，定期开展驻点服务，形成“</w:t>
      </w:r>
      <w:r w:rsidRPr="00E53BDD">
        <w:rPr>
          <w:rFonts w:eastAsia="仿宋_GB2312" w:cs="仿宋" w:hint="eastAsia"/>
          <w:sz w:val="32"/>
          <w:szCs w:val="32"/>
        </w:rPr>
        <w:t>1+7</w:t>
      </w:r>
      <w:r w:rsidRPr="00E53BDD">
        <w:rPr>
          <w:rFonts w:eastAsia="仿宋_GB2312" w:cs="仿宋" w:hint="eastAsia"/>
          <w:sz w:val="32"/>
          <w:szCs w:val="32"/>
        </w:rPr>
        <w:t>”网络化服务模式。</w:t>
      </w:r>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成立太仓市企业上市知识产权服务中心，强化精准服务、高质量发展导向，立足企业主体地位、指导并帮助企业快速补足知识产权领域短板，推动一批创新竞争力高、行业带动性强的优质企业挂牌上市。</w:t>
      </w:r>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针对太仓市重点产业，探索建立知识产权大数据平台，为太仓市创新主体提供基础数据、行业资讯、政策指引、海外知识产权等知识产权特色化服务，为产业企业提供丰富的资源数据。</w:t>
      </w:r>
    </w:p>
    <w:tbl>
      <w:tblPr>
        <w:tblpPr w:leftFromText="180" w:rightFromText="180" w:vertAnchor="text" w:horzAnchor="page" w:tblpX="1995" w:tblpY="2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0"/>
      </w:tblGrid>
      <w:tr w:rsidR="00833E93">
        <w:trPr>
          <w:trHeight w:val="618"/>
        </w:trPr>
        <w:tc>
          <w:tcPr>
            <w:tcW w:w="8290" w:type="dxa"/>
            <w:noWrap/>
            <w:vAlign w:val="center"/>
          </w:tcPr>
          <w:p w:rsidR="00833E93" w:rsidRDefault="00E53BDD">
            <w:pPr>
              <w:adjustRightInd w:val="0"/>
              <w:spacing w:line="560" w:lineRule="exact"/>
              <w:ind w:firstLineChars="0" w:firstLine="0"/>
              <w:jc w:val="center"/>
              <w:rPr>
                <w:rFonts w:ascii="方正黑体_GBK" w:eastAsia="黑体"/>
              </w:rPr>
            </w:pPr>
            <w:r>
              <w:rPr>
                <w:rFonts w:ascii="黑体" w:eastAsia="黑体" w:hAnsi="黑体" w:cs="黑体" w:hint="eastAsia"/>
                <w:sz w:val="28"/>
                <w:szCs w:val="28"/>
              </w:rPr>
              <w:t>专栏2建设苏州知识产权保护中心太仓分中心</w:t>
            </w:r>
          </w:p>
        </w:tc>
      </w:tr>
      <w:tr w:rsidR="00833E93">
        <w:trPr>
          <w:trHeight w:val="416"/>
        </w:trPr>
        <w:tc>
          <w:tcPr>
            <w:tcW w:w="8290" w:type="dxa"/>
            <w:noWrap/>
            <w:vAlign w:val="center"/>
          </w:tcPr>
          <w:p w:rsidR="00833E93" w:rsidRPr="00E53BDD" w:rsidRDefault="00E53BDD">
            <w:pPr>
              <w:pStyle w:val="a9"/>
              <w:widowControl/>
              <w:spacing w:before="350" w:afterAutospacing="0" w:line="400" w:lineRule="exact"/>
              <w:ind w:firstLine="480"/>
              <w:rPr>
                <w:rFonts w:ascii="仿宋" w:eastAsia="仿宋_GB2312" w:hAnsi="仿宋" w:cs="仿宋"/>
                <w:kern w:val="2"/>
                <w:sz w:val="32"/>
                <w:szCs w:val="32"/>
              </w:rPr>
            </w:pPr>
            <w:r>
              <w:rPr>
                <w:rFonts w:ascii="仿宋_GB2312" w:eastAsia="仿宋_GB2312" w:hAnsi="楷体_GB2312" w:cs="楷体_GB2312" w:hint="eastAsia"/>
                <w:kern w:val="2"/>
              </w:rPr>
              <w:t>积极建设苏州知识产权保护中心太仓分中心，开展信息咨询、纠纷指导、快速维权、知识产权保护等工作，指导应对海外知识产权纠纷。在优质高效地推进各项建设工作的同时，积极探索具有行业特色、符合太仓实际的知识产权保护机制，引导太仓企业开展知识产权产业导航、知识产权运营转化等工作，促进产业高质量发展。</w:t>
            </w:r>
          </w:p>
        </w:tc>
      </w:tr>
    </w:tbl>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29" w:name="_Toc30314"/>
      <w:bookmarkStart w:id="330" w:name="_Toc4526"/>
      <w:bookmarkStart w:id="331" w:name="_Toc9860"/>
      <w:bookmarkStart w:id="332" w:name="_Toc23645"/>
      <w:bookmarkStart w:id="333" w:name="_Toc17586"/>
      <w:bookmarkStart w:id="334" w:name="_Toc16266"/>
      <w:bookmarkStart w:id="335" w:name="_Toc1979"/>
      <w:bookmarkStart w:id="336" w:name="_Toc32559"/>
      <w:bookmarkStart w:id="337" w:name="_Toc28539"/>
      <w:r w:rsidRPr="00E53BDD">
        <w:rPr>
          <w:rFonts w:ascii="Times New Roman" w:eastAsia="仿宋_GB2312" w:hAnsi="Times New Roman" w:cs="仿宋" w:hint="eastAsia"/>
          <w:b/>
          <w:bCs/>
          <w:sz w:val="30"/>
          <w:szCs w:val="30"/>
        </w:rPr>
        <w:t>15.</w:t>
      </w:r>
      <w:r w:rsidRPr="00E53BDD">
        <w:rPr>
          <w:rFonts w:ascii="Times New Roman" w:eastAsia="仿宋_GB2312" w:hAnsi="Times New Roman" w:cs="仿宋" w:hint="eastAsia"/>
          <w:b/>
          <w:bCs/>
          <w:sz w:val="30"/>
          <w:szCs w:val="30"/>
        </w:rPr>
        <w:t>增强知识产权专业服务能力</w:t>
      </w:r>
      <w:bookmarkEnd w:id="329"/>
      <w:bookmarkEnd w:id="330"/>
      <w:bookmarkEnd w:id="331"/>
      <w:bookmarkEnd w:id="332"/>
      <w:bookmarkEnd w:id="333"/>
      <w:bookmarkEnd w:id="334"/>
      <w:bookmarkEnd w:id="335"/>
      <w:bookmarkEnd w:id="336"/>
      <w:bookmarkEnd w:id="337"/>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开展知识产权服务能力提升行动，引导知识产权服务业高质量发展，促进知识产权服务机构</w:t>
      </w:r>
      <w:proofErr w:type="gramStart"/>
      <w:r w:rsidRPr="00E53BDD">
        <w:rPr>
          <w:rFonts w:eastAsia="仿宋_GB2312" w:cs="仿宋" w:hint="eastAsia"/>
          <w:sz w:val="32"/>
          <w:szCs w:val="32"/>
        </w:rPr>
        <w:t>做优做</w:t>
      </w:r>
      <w:proofErr w:type="gramEnd"/>
      <w:r w:rsidRPr="00E53BDD">
        <w:rPr>
          <w:rFonts w:eastAsia="仿宋_GB2312" w:cs="仿宋" w:hint="eastAsia"/>
          <w:sz w:val="32"/>
          <w:szCs w:val="32"/>
        </w:rPr>
        <w:t>强。提升服务质量，拓展服务内容和范围，探索建立行业标准，培育一批知识产权服务优秀机构和人才。优化提升太仓市知识产权保护指导站建设，进一步规范知识产权管理工作，培养专业知识产权管理人员。创新知识产权服务模式，依托大数据、云计算、互联网等新技术，探索建立“线上</w:t>
      </w:r>
      <w:r w:rsidRPr="00E53BDD">
        <w:rPr>
          <w:rFonts w:eastAsia="仿宋_GB2312" w:cs="仿宋" w:hint="eastAsia"/>
          <w:sz w:val="32"/>
          <w:szCs w:val="32"/>
        </w:rPr>
        <w:t>+</w:t>
      </w:r>
      <w:r w:rsidRPr="00E53BDD">
        <w:rPr>
          <w:rFonts w:eastAsia="仿宋_GB2312" w:cs="仿宋" w:hint="eastAsia"/>
          <w:sz w:val="32"/>
          <w:szCs w:val="32"/>
        </w:rPr>
        <w:t>线下”双线服务，全面提升知识产权服务能力与水平。</w:t>
      </w:r>
    </w:p>
    <w:p w:rsidR="00833E93" w:rsidRPr="00E53BDD" w:rsidRDefault="00E53BDD">
      <w:pPr>
        <w:spacing w:line="560" w:lineRule="exact"/>
        <w:ind w:firstLine="640"/>
        <w:rPr>
          <w:rFonts w:ascii="仿宋" w:eastAsia="仿宋_GB2312" w:hAnsi="仿宋" w:cs="仿宋"/>
          <w:sz w:val="32"/>
          <w:szCs w:val="32"/>
        </w:rPr>
      </w:pPr>
      <w:r w:rsidRPr="00E53BDD">
        <w:rPr>
          <w:rFonts w:eastAsia="仿宋_GB2312" w:cs="仿宋" w:hint="eastAsia"/>
          <w:sz w:val="32"/>
          <w:szCs w:val="32"/>
        </w:rPr>
        <w:t>探索建设知识产权特色产业园区，引进国内外高端知识产权服务机构驻扎太仓，形成包括专利、商标、版权、商业秘密等知识产权代理服务、企业孵化、专利信息利用、预警分析、专利技术产业化、法律援助、宣传培训在内的较完整的知识产权服务产业链，提升高端化知识产权服务能力。</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38" w:name="_Toc4718"/>
      <w:bookmarkStart w:id="339" w:name="_Toc15232"/>
      <w:bookmarkStart w:id="340" w:name="_Toc26461"/>
      <w:bookmarkStart w:id="341" w:name="_Toc3280"/>
      <w:bookmarkStart w:id="342" w:name="_Toc630"/>
      <w:bookmarkStart w:id="343" w:name="_Toc14887"/>
      <w:bookmarkStart w:id="344" w:name="_Toc10372"/>
      <w:bookmarkStart w:id="345" w:name="_Toc14920"/>
      <w:bookmarkStart w:id="346" w:name="_Toc11626"/>
      <w:r w:rsidRPr="00E53BDD">
        <w:rPr>
          <w:rFonts w:ascii="Times New Roman" w:eastAsia="仿宋_GB2312" w:hAnsi="Times New Roman" w:cs="仿宋" w:hint="eastAsia"/>
          <w:b/>
          <w:bCs/>
          <w:sz w:val="30"/>
          <w:szCs w:val="30"/>
        </w:rPr>
        <w:t>16.</w:t>
      </w:r>
      <w:r w:rsidRPr="00E53BDD">
        <w:rPr>
          <w:rFonts w:ascii="Times New Roman" w:eastAsia="仿宋_GB2312" w:hAnsi="Times New Roman" w:cs="仿宋" w:hint="eastAsia"/>
          <w:b/>
          <w:bCs/>
          <w:sz w:val="30"/>
          <w:szCs w:val="30"/>
        </w:rPr>
        <w:t>加强知识产权服务行业监管</w:t>
      </w:r>
      <w:bookmarkEnd w:id="338"/>
      <w:bookmarkEnd w:id="339"/>
      <w:bookmarkEnd w:id="340"/>
      <w:bookmarkEnd w:id="341"/>
      <w:bookmarkEnd w:id="342"/>
      <w:bookmarkEnd w:id="343"/>
      <w:bookmarkEnd w:id="344"/>
      <w:bookmarkEnd w:id="345"/>
      <w:bookmarkEnd w:id="346"/>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规范知识产权服务机构运营，提升知识产权服务质量。认真落实《太仓市专利代理机构绩效评价管理办法》，加强知识产权服务业信用管理，积极引导服务机构依法规范开展业务，支撑服务质量和服务水平提升，促进专利代理机构规范化、品牌化建设，培育一批知识产权服务示范机构。引导服务机构成立太仓市知识产权保护协会、知识产权联盟等知识产权社会团体，动员全社会力量广泛参与。加强专利、商标代理行业发展状况统计分析，建立专利、商标代理机构评价指标体系，公开评价结果，促进专利商标代理服务质量提升。强化专利商标代理行为监管，依法打击商标恶意注册、非正常专利申请行为，促进专利商标代理市场规范、健康、有序发展。</w:t>
      </w:r>
    </w:p>
    <w:p w:rsidR="00833E93" w:rsidRPr="00E53BDD" w:rsidRDefault="00E53BDD">
      <w:pPr>
        <w:pStyle w:val="2"/>
        <w:ind w:firstLine="640"/>
        <w:rPr>
          <w:rFonts w:eastAsia="楷体_GB2312"/>
        </w:rPr>
      </w:pPr>
      <w:bookmarkStart w:id="347" w:name="_Toc7859"/>
      <w:bookmarkStart w:id="348" w:name="_Toc22217"/>
      <w:bookmarkStart w:id="349" w:name="_Toc17594"/>
      <w:bookmarkStart w:id="350" w:name="_Toc12616"/>
      <w:bookmarkStart w:id="351" w:name="_Toc1204"/>
      <w:bookmarkStart w:id="352" w:name="_Toc19211"/>
      <w:bookmarkStart w:id="353" w:name="_Toc8031"/>
      <w:bookmarkStart w:id="354" w:name="_Toc32763"/>
      <w:bookmarkStart w:id="355" w:name="_Toc22795"/>
      <w:r w:rsidRPr="00E53BDD">
        <w:rPr>
          <w:rFonts w:eastAsia="楷体_GB2312" w:hint="eastAsia"/>
        </w:rPr>
        <w:t>打造知识产权人才高地</w:t>
      </w:r>
      <w:bookmarkEnd w:id="347"/>
      <w:bookmarkEnd w:id="348"/>
      <w:bookmarkEnd w:id="349"/>
      <w:bookmarkEnd w:id="350"/>
      <w:bookmarkEnd w:id="351"/>
      <w:bookmarkEnd w:id="352"/>
      <w:bookmarkEnd w:id="353"/>
      <w:bookmarkEnd w:id="354"/>
      <w:bookmarkEnd w:id="355"/>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56" w:name="_Toc4760"/>
      <w:bookmarkStart w:id="357" w:name="_Toc14345"/>
      <w:bookmarkStart w:id="358" w:name="_Toc32103"/>
      <w:bookmarkStart w:id="359" w:name="_Toc3441"/>
      <w:bookmarkStart w:id="360" w:name="_Toc1659"/>
      <w:bookmarkStart w:id="361" w:name="_Toc18506"/>
      <w:bookmarkStart w:id="362" w:name="_Toc17815"/>
      <w:bookmarkStart w:id="363" w:name="_Toc14862"/>
      <w:bookmarkStart w:id="364" w:name="_Toc14843"/>
      <w:r w:rsidRPr="00E53BDD">
        <w:rPr>
          <w:rFonts w:ascii="Times New Roman" w:eastAsia="仿宋_GB2312" w:hAnsi="Times New Roman" w:cs="仿宋" w:hint="eastAsia"/>
          <w:b/>
          <w:bCs/>
          <w:sz w:val="30"/>
          <w:szCs w:val="30"/>
        </w:rPr>
        <w:t>17.</w:t>
      </w:r>
      <w:r w:rsidRPr="00E53BDD">
        <w:rPr>
          <w:rFonts w:ascii="Times New Roman" w:eastAsia="仿宋_GB2312" w:hAnsi="Times New Roman" w:cs="仿宋" w:hint="eastAsia"/>
          <w:b/>
          <w:bCs/>
          <w:sz w:val="30"/>
          <w:szCs w:val="30"/>
        </w:rPr>
        <w:t>营造知识产权人才发展环境</w:t>
      </w:r>
      <w:bookmarkEnd w:id="356"/>
      <w:bookmarkEnd w:id="357"/>
      <w:bookmarkEnd w:id="358"/>
      <w:bookmarkEnd w:id="359"/>
      <w:bookmarkEnd w:id="360"/>
      <w:bookmarkEnd w:id="361"/>
      <w:bookmarkEnd w:id="362"/>
      <w:bookmarkEnd w:id="363"/>
      <w:bookmarkEnd w:id="364"/>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推进知识产权人才服务平台建成，打造有利于人才发展与交流的公共服务平台，实施知识产权人才入库工程，加强与国家级、长三角地区、江苏省和苏州市知识产权人才库衔接，实现人才资源互通、信息共享机制，落实人才优惠扶持政策。在本市有关部门和企事业单位推行公职律师、公司律师、法律顾问制度，促进知识产权工作法治化。深入实施大院名校引才计划，加强与苏州大学王健法学院、西北工业大学太仓校区等地方高校合作，支持德国高校、科研院所在</w:t>
      </w:r>
      <w:proofErr w:type="gramStart"/>
      <w:r w:rsidRPr="00E53BDD">
        <w:rPr>
          <w:rFonts w:eastAsia="仿宋_GB2312" w:cs="仿宋" w:hint="eastAsia"/>
          <w:sz w:val="32"/>
          <w:szCs w:val="32"/>
        </w:rPr>
        <w:t>太设立</w:t>
      </w:r>
      <w:proofErr w:type="gramEnd"/>
      <w:r w:rsidRPr="00E53BDD">
        <w:rPr>
          <w:rFonts w:eastAsia="仿宋_GB2312" w:cs="仿宋" w:hint="eastAsia"/>
          <w:sz w:val="32"/>
          <w:szCs w:val="32"/>
        </w:rPr>
        <w:t>分支机构，共同开展知识产权人才培养项目。利用“太湖知英”等人才对接交流服务，帮助企业、机构更好地引进知识产权高层次人才。</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65" w:name="_Toc24577"/>
      <w:bookmarkStart w:id="366" w:name="_Toc20426"/>
      <w:bookmarkStart w:id="367" w:name="_Toc26742"/>
      <w:bookmarkStart w:id="368" w:name="_Toc23009"/>
      <w:bookmarkStart w:id="369" w:name="_Toc26662"/>
      <w:bookmarkStart w:id="370" w:name="_Toc17954"/>
      <w:bookmarkStart w:id="371" w:name="_Toc18291"/>
      <w:bookmarkStart w:id="372" w:name="_Toc31907"/>
      <w:bookmarkStart w:id="373" w:name="_Toc25182"/>
      <w:r w:rsidRPr="00E53BDD">
        <w:rPr>
          <w:rFonts w:ascii="Times New Roman" w:eastAsia="仿宋_GB2312" w:hAnsi="Times New Roman" w:cs="仿宋" w:hint="eastAsia"/>
          <w:b/>
          <w:bCs/>
          <w:sz w:val="30"/>
          <w:szCs w:val="30"/>
        </w:rPr>
        <w:t>18.</w:t>
      </w:r>
      <w:r w:rsidRPr="00E53BDD">
        <w:rPr>
          <w:rFonts w:ascii="Times New Roman" w:eastAsia="仿宋_GB2312" w:hAnsi="Times New Roman" w:cs="仿宋" w:hint="eastAsia"/>
          <w:b/>
          <w:bCs/>
          <w:sz w:val="30"/>
          <w:szCs w:val="30"/>
        </w:rPr>
        <w:t>加大知识产权人才培养力度</w:t>
      </w:r>
      <w:bookmarkEnd w:id="365"/>
      <w:bookmarkEnd w:id="366"/>
      <w:bookmarkEnd w:id="367"/>
      <w:bookmarkEnd w:id="368"/>
      <w:bookmarkEnd w:id="369"/>
      <w:bookmarkEnd w:id="370"/>
      <w:bookmarkEnd w:id="371"/>
      <w:bookmarkEnd w:id="372"/>
      <w:bookmarkEnd w:id="373"/>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加大对知识产权领军人才、知识产权骨干人才等高端人才的培养力度，积极扩大经济师（知识产权师）职业资格的持有人数，加大知识产权工程师的培训力度。提升知识产权服务业从业人员的素质，增加专利代理师持证上岗人数。实施知识产权人才分层次培养，以购买服务的方式，鼓励社会机构开展知识产权相关培训，委托相关单位有计划、有重点地开展知识产权各类人才的专题培训，年组织培训</w:t>
      </w:r>
      <w:r w:rsidRPr="00E53BDD">
        <w:rPr>
          <w:rFonts w:eastAsia="仿宋_GB2312" w:cs="仿宋" w:hint="eastAsia"/>
          <w:sz w:val="32"/>
          <w:szCs w:val="32"/>
        </w:rPr>
        <w:t>200</w:t>
      </w:r>
      <w:r w:rsidRPr="00E53BDD">
        <w:rPr>
          <w:rFonts w:eastAsia="仿宋_GB2312" w:cs="仿宋" w:hint="eastAsia"/>
          <w:sz w:val="32"/>
          <w:szCs w:val="32"/>
        </w:rPr>
        <w:t>人次以上。探索建立高校、机构、企业等多方联动、定向委培的知识产权人才培养机制，培养实务型知识产权人才。</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74" w:name="_Toc16447"/>
      <w:bookmarkStart w:id="375" w:name="_Toc25497"/>
      <w:bookmarkStart w:id="376" w:name="_Toc4969"/>
      <w:bookmarkStart w:id="377" w:name="_Toc13651"/>
      <w:bookmarkStart w:id="378" w:name="_Toc8685"/>
      <w:bookmarkStart w:id="379" w:name="_Toc13669"/>
      <w:bookmarkStart w:id="380" w:name="_Toc7792"/>
      <w:bookmarkStart w:id="381" w:name="_Toc20160"/>
      <w:bookmarkStart w:id="382" w:name="_Toc20887"/>
      <w:r w:rsidRPr="00E53BDD">
        <w:rPr>
          <w:rFonts w:ascii="Times New Roman" w:eastAsia="仿宋_GB2312" w:hAnsi="Times New Roman" w:cs="仿宋" w:hint="eastAsia"/>
          <w:b/>
          <w:bCs/>
          <w:sz w:val="30"/>
          <w:szCs w:val="30"/>
        </w:rPr>
        <w:t>19.</w:t>
      </w:r>
      <w:r w:rsidRPr="00E53BDD">
        <w:rPr>
          <w:rFonts w:ascii="Times New Roman" w:eastAsia="仿宋_GB2312" w:hAnsi="Times New Roman" w:cs="仿宋" w:hint="eastAsia"/>
          <w:b/>
          <w:bCs/>
          <w:sz w:val="30"/>
          <w:szCs w:val="30"/>
        </w:rPr>
        <w:t>完善知识产权人才评价使用机制</w:t>
      </w:r>
      <w:bookmarkEnd w:id="374"/>
      <w:bookmarkEnd w:id="375"/>
      <w:bookmarkEnd w:id="376"/>
      <w:bookmarkEnd w:id="377"/>
      <w:bookmarkEnd w:id="378"/>
      <w:bookmarkEnd w:id="379"/>
      <w:bookmarkEnd w:id="380"/>
      <w:bookmarkEnd w:id="381"/>
      <w:bookmarkEnd w:id="382"/>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针对航空航天、生物医药等重点产业，开辟项目评审绿色通道，接轨国际人才评价标准，建立中德双方证书互认渠道，开辟海外人才评审“绿色通道”，优化引才用才制度，实现知识产权人才链与产业链精准融合。建立太仓市知识产权高质量发展智库，分别建立知识产权专家、产业专家、技术专家队伍，有效支撑知识产权理论研究、产业发展政策决策等工作。完善知识产权行政执法和司法人才岗位锻炼、岗位交流机制，健全知识产权调解、公证、社会监督等人才的选聘、管理和激励制度。建立以岗位职责为基础、品德能力为导向、工作业绩为重点的人才评价机制，充分发挥考核的刚性约束作用，确保人才工作各项政策措施落到实处。</w:t>
      </w:r>
    </w:p>
    <w:p w:rsidR="00833E93" w:rsidRPr="00E53BDD" w:rsidRDefault="00E53BDD">
      <w:pPr>
        <w:pStyle w:val="2"/>
        <w:numPr>
          <w:ilvl w:val="255"/>
          <w:numId w:val="0"/>
        </w:numPr>
        <w:ind w:firstLineChars="200" w:firstLine="640"/>
        <w:rPr>
          <w:rFonts w:eastAsia="楷体_GB2312"/>
          <w:highlight w:val="yellow"/>
        </w:rPr>
      </w:pPr>
      <w:bookmarkStart w:id="383" w:name="_Toc10795"/>
      <w:bookmarkStart w:id="384" w:name="_Toc11349"/>
      <w:bookmarkStart w:id="385" w:name="_Toc6824"/>
      <w:bookmarkStart w:id="386" w:name="_Toc20553"/>
      <w:bookmarkStart w:id="387" w:name="_Toc29299"/>
      <w:bookmarkStart w:id="388" w:name="_Toc31867"/>
      <w:bookmarkStart w:id="389" w:name="_Toc3536"/>
      <w:bookmarkStart w:id="390" w:name="_Toc20916"/>
      <w:bookmarkStart w:id="391" w:name="_Toc29216"/>
      <w:r w:rsidRPr="00E53BDD">
        <w:rPr>
          <w:rFonts w:eastAsia="楷体_GB2312" w:hint="eastAsia"/>
        </w:rPr>
        <w:t>（七）优化知识产权境外合作与防控体系</w:t>
      </w:r>
      <w:bookmarkEnd w:id="383"/>
      <w:bookmarkEnd w:id="384"/>
      <w:bookmarkEnd w:id="385"/>
      <w:bookmarkEnd w:id="386"/>
      <w:bookmarkEnd w:id="387"/>
      <w:bookmarkEnd w:id="388"/>
      <w:bookmarkEnd w:id="389"/>
      <w:bookmarkEnd w:id="390"/>
      <w:bookmarkEnd w:id="391"/>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392" w:name="_Toc6882"/>
      <w:bookmarkStart w:id="393" w:name="_Toc31228"/>
      <w:bookmarkStart w:id="394" w:name="_Toc980"/>
      <w:bookmarkStart w:id="395" w:name="_Toc5896"/>
      <w:bookmarkStart w:id="396" w:name="_Toc10153"/>
      <w:bookmarkStart w:id="397" w:name="_Toc15322"/>
      <w:bookmarkStart w:id="398" w:name="_Toc14764"/>
      <w:bookmarkStart w:id="399" w:name="_Toc11384"/>
      <w:bookmarkStart w:id="400" w:name="_Toc30438"/>
      <w:r w:rsidRPr="00E53BDD">
        <w:rPr>
          <w:rFonts w:ascii="Times New Roman" w:eastAsia="仿宋_GB2312" w:hAnsi="Times New Roman" w:cs="仿宋" w:hint="eastAsia"/>
          <w:b/>
          <w:bCs/>
          <w:sz w:val="30"/>
          <w:szCs w:val="30"/>
        </w:rPr>
        <w:t>20.</w:t>
      </w:r>
      <w:r w:rsidRPr="00E53BDD">
        <w:rPr>
          <w:rFonts w:ascii="Times New Roman" w:eastAsia="仿宋_GB2312" w:hAnsi="Times New Roman" w:cs="仿宋" w:hint="eastAsia"/>
          <w:b/>
          <w:bCs/>
          <w:sz w:val="30"/>
          <w:szCs w:val="30"/>
        </w:rPr>
        <w:t>深化中德知识产权创新合作发展</w:t>
      </w:r>
      <w:bookmarkEnd w:id="392"/>
      <w:bookmarkEnd w:id="393"/>
      <w:bookmarkEnd w:id="394"/>
      <w:bookmarkEnd w:id="395"/>
      <w:bookmarkEnd w:id="396"/>
      <w:bookmarkEnd w:id="397"/>
      <w:bookmarkEnd w:id="398"/>
      <w:bookmarkEnd w:id="399"/>
      <w:bookmarkEnd w:id="400"/>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持续深化对德经贸合作，全面提升对德合作的层次和水平，加快建设中德中小企业合作示范区。强化科技创新引领，聚焦“高精尖特”国际先进技术、产业</w:t>
      </w:r>
      <w:proofErr w:type="gramStart"/>
      <w:r w:rsidRPr="00E53BDD">
        <w:rPr>
          <w:rFonts w:eastAsia="仿宋_GB2312" w:cs="仿宋" w:hint="eastAsia"/>
          <w:sz w:val="32"/>
          <w:szCs w:val="32"/>
        </w:rPr>
        <w:t>链关键</w:t>
      </w:r>
      <w:proofErr w:type="gramEnd"/>
      <w:r w:rsidRPr="00E53BDD">
        <w:rPr>
          <w:rFonts w:eastAsia="仿宋_GB2312" w:cs="仿宋" w:hint="eastAsia"/>
          <w:sz w:val="32"/>
          <w:szCs w:val="32"/>
        </w:rPr>
        <w:t>核心技术、共性技术等开展创新合作。加强双向互动交流，畅通知识产权申请流程，强化知识产权运用保护，提高</w:t>
      </w:r>
      <w:r w:rsidRPr="00E53BDD">
        <w:rPr>
          <w:rFonts w:eastAsia="仿宋_GB2312" w:cs="仿宋" w:hint="eastAsia"/>
          <w:sz w:val="32"/>
          <w:szCs w:val="32"/>
        </w:rPr>
        <w:t>PCT</w:t>
      </w:r>
      <w:r w:rsidRPr="00E53BDD">
        <w:rPr>
          <w:rFonts w:eastAsia="仿宋_GB2312" w:cs="仿宋" w:hint="eastAsia"/>
          <w:sz w:val="32"/>
          <w:szCs w:val="32"/>
        </w:rPr>
        <w:t>申报率，增强</w:t>
      </w:r>
      <w:proofErr w:type="gramStart"/>
      <w:r w:rsidRPr="00E53BDD">
        <w:rPr>
          <w:rFonts w:eastAsia="仿宋_GB2312" w:cs="仿宋" w:hint="eastAsia"/>
          <w:sz w:val="32"/>
          <w:szCs w:val="32"/>
        </w:rPr>
        <w:t>德企在太转移</w:t>
      </w:r>
      <w:proofErr w:type="gramEnd"/>
      <w:r w:rsidRPr="00E53BDD">
        <w:rPr>
          <w:rFonts w:eastAsia="仿宋_GB2312" w:cs="仿宋" w:hint="eastAsia"/>
          <w:sz w:val="32"/>
          <w:szCs w:val="32"/>
        </w:rPr>
        <w:t>转化科技成果的信心。加快智能制造普及，大力培育智能制造解决方案提供商和系统集成服务商，在重点行业、重点领域形成一批智能制造示范项目。创建国家高端装备制造业标准化试点，引导</w:t>
      </w:r>
      <w:proofErr w:type="gramStart"/>
      <w:r w:rsidRPr="00E53BDD">
        <w:rPr>
          <w:rFonts w:eastAsia="仿宋_GB2312" w:cs="仿宋" w:hint="eastAsia"/>
          <w:sz w:val="32"/>
          <w:szCs w:val="32"/>
        </w:rPr>
        <w:t>德企参加</w:t>
      </w:r>
      <w:proofErr w:type="gramEnd"/>
      <w:r w:rsidRPr="00E53BDD">
        <w:rPr>
          <w:rFonts w:eastAsia="仿宋_GB2312" w:cs="仿宋" w:hint="eastAsia"/>
          <w:sz w:val="32"/>
          <w:szCs w:val="32"/>
        </w:rPr>
        <w:t>国内外标准化组织活动，助推技术创新和产品市场化、产业化、国际化。</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401" w:name="_Toc22879"/>
      <w:bookmarkStart w:id="402" w:name="_Toc20816"/>
      <w:bookmarkStart w:id="403" w:name="_Toc25444"/>
      <w:bookmarkStart w:id="404" w:name="_Toc13612"/>
      <w:bookmarkStart w:id="405" w:name="_Toc29124"/>
      <w:bookmarkStart w:id="406" w:name="_Toc26181"/>
      <w:bookmarkStart w:id="407" w:name="_Toc7574"/>
      <w:bookmarkStart w:id="408" w:name="_Toc20091"/>
      <w:bookmarkStart w:id="409" w:name="_Toc29440"/>
      <w:r w:rsidRPr="00E53BDD">
        <w:rPr>
          <w:rFonts w:ascii="Times New Roman" w:eastAsia="仿宋_GB2312" w:hAnsi="Times New Roman" w:cs="仿宋" w:hint="eastAsia"/>
          <w:b/>
          <w:bCs/>
          <w:sz w:val="30"/>
          <w:szCs w:val="30"/>
        </w:rPr>
        <w:t>21.</w:t>
      </w:r>
      <w:bookmarkEnd w:id="401"/>
      <w:r w:rsidRPr="00E53BDD">
        <w:rPr>
          <w:rFonts w:ascii="Times New Roman" w:eastAsia="仿宋_GB2312" w:hAnsi="Times New Roman" w:cs="仿宋" w:hint="eastAsia"/>
          <w:b/>
          <w:bCs/>
          <w:sz w:val="30"/>
          <w:szCs w:val="30"/>
        </w:rPr>
        <w:t>推进知识产权国际合作交流</w:t>
      </w:r>
      <w:bookmarkEnd w:id="402"/>
      <w:bookmarkEnd w:id="403"/>
      <w:bookmarkEnd w:id="404"/>
      <w:bookmarkEnd w:id="405"/>
      <w:bookmarkEnd w:id="406"/>
      <w:bookmarkEnd w:id="407"/>
      <w:bookmarkEnd w:id="408"/>
      <w:bookmarkEnd w:id="409"/>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认真贯彻落实国家“一带一路”战略，引导企业等市场主体有效利用知识产权国际规则，重点面向主要贸易国家地区、“一带一路”沿线和</w:t>
      </w:r>
      <w:r w:rsidRPr="00E53BDD">
        <w:rPr>
          <w:rFonts w:eastAsia="仿宋_GB2312" w:cs="仿宋" w:hint="eastAsia"/>
          <w:sz w:val="32"/>
          <w:szCs w:val="32"/>
        </w:rPr>
        <w:t>RCEP</w:t>
      </w:r>
      <w:r w:rsidRPr="00E53BDD">
        <w:rPr>
          <w:rFonts w:eastAsia="仿宋_GB2312" w:cs="仿宋" w:hint="eastAsia"/>
          <w:sz w:val="32"/>
          <w:szCs w:val="32"/>
        </w:rPr>
        <w:t>国家，积极开展海外知识产权布局，拓展海外市场竞争力。建设知识产权国际服务平台，积极对接引入海外知识产权服务机构和专家资源，为企业等市场主体提供跨境知识产权申请、运用、保护、维权等方面的咨询和信息服务。</w:t>
      </w:r>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410" w:name="_Toc14720"/>
      <w:bookmarkStart w:id="411" w:name="_Toc1559"/>
      <w:bookmarkStart w:id="412" w:name="_Toc27050"/>
      <w:bookmarkStart w:id="413" w:name="_Toc19886"/>
      <w:bookmarkStart w:id="414" w:name="_Toc2349"/>
      <w:bookmarkStart w:id="415" w:name="_Toc10155"/>
      <w:bookmarkStart w:id="416" w:name="_Toc9724"/>
      <w:bookmarkStart w:id="417" w:name="_Toc25552"/>
      <w:bookmarkStart w:id="418" w:name="_Toc1364"/>
      <w:r w:rsidRPr="00E53BDD">
        <w:rPr>
          <w:rFonts w:ascii="Times New Roman" w:eastAsia="仿宋_GB2312" w:hAnsi="Times New Roman" w:cs="仿宋" w:hint="eastAsia"/>
          <w:b/>
          <w:bCs/>
          <w:sz w:val="30"/>
          <w:szCs w:val="30"/>
        </w:rPr>
        <w:t>22.</w:t>
      </w:r>
      <w:r w:rsidRPr="00E53BDD">
        <w:rPr>
          <w:rFonts w:ascii="Times New Roman" w:eastAsia="仿宋_GB2312" w:hAnsi="Times New Roman" w:cs="仿宋" w:hint="eastAsia"/>
          <w:b/>
          <w:bCs/>
          <w:sz w:val="30"/>
          <w:szCs w:val="30"/>
        </w:rPr>
        <w:t>提升企业知识产权海外纠纷应对能力</w:t>
      </w:r>
      <w:bookmarkStart w:id="419" w:name="_Toc6517"/>
      <w:bookmarkEnd w:id="410"/>
      <w:bookmarkEnd w:id="411"/>
      <w:bookmarkEnd w:id="412"/>
      <w:bookmarkEnd w:id="413"/>
      <w:bookmarkEnd w:id="414"/>
      <w:bookmarkEnd w:id="415"/>
      <w:bookmarkEnd w:id="416"/>
      <w:bookmarkEnd w:id="417"/>
      <w:bookmarkEnd w:id="418"/>
    </w:p>
    <w:p w:rsidR="00833E93" w:rsidRPr="00E53BDD" w:rsidRDefault="00E53BDD">
      <w:pPr>
        <w:spacing w:line="560" w:lineRule="exact"/>
        <w:ind w:firstLine="640"/>
        <w:rPr>
          <w:rFonts w:eastAsia="仿宋_GB2312" w:cs="仿宋"/>
          <w:sz w:val="32"/>
          <w:szCs w:val="32"/>
        </w:rPr>
      </w:pPr>
      <w:bookmarkStart w:id="420" w:name="_Toc25358"/>
      <w:bookmarkStart w:id="421" w:name="_Toc13635"/>
      <w:bookmarkStart w:id="422" w:name="_Toc14307"/>
      <w:r w:rsidRPr="00E53BDD">
        <w:rPr>
          <w:rFonts w:eastAsia="仿宋_GB2312" w:cs="仿宋" w:hint="eastAsia"/>
          <w:sz w:val="32"/>
          <w:szCs w:val="32"/>
        </w:rPr>
        <w:t>加快建设苏州知识产权保护中心太仓分中心，鼓励行业协会和知识产权服务机构加强海外知识产权维权援助服务，建立海外知识产权风险预警和应急响应机制。组建海外知识产权服务专家顾问团队，研究海外知识产权风险防范和纠纷应对策略，定期发布相关国家和地区知识产权制度环境等信息，防范知识产权国际风险，进一步加强海外知识产权纠纷应对指导，护航企业“走出去”。</w:t>
      </w:r>
      <w:bookmarkStart w:id="423" w:name="_Toc7846"/>
      <w:bookmarkStart w:id="424" w:name="_Toc24669"/>
      <w:bookmarkStart w:id="425" w:name="_Toc8562"/>
      <w:bookmarkStart w:id="426" w:name="_Toc31264"/>
      <w:bookmarkStart w:id="427" w:name="_Toc3658"/>
      <w:bookmarkStart w:id="428" w:name="_Toc1765"/>
      <w:bookmarkEnd w:id="420"/>
      <w:bookmarkEnd w:id="421"/>
      <w:bookmarkEnd w:id="422"/>
    </w:p>
    <w:p w:rsidR="00833E93" w:rsidRPr="00E53BDD" w:rsidRDefault="00E53BDD">
      <w:pPr>
        <w:pStyle w:val="2"/>
        <w:numPr>
          <w:ilvl w:val="1"/>
          <w:numId w:val="0"/>
        </w:numPr>
        <w:ind w:firstLineChars="200" w:firstLine="640"/>
        <w:rPr>
          <w:rFonts w:eastAsia="楷体_GB2312"/>
        </w:rPr>
      </w:pPr>
      <w:bookmarkStart w:id="429" w:name="_Toc12918"/>
      <w:bookmarkStart w:id="430" w:name="_Toc25953"/>
      <w:r w:rsidRPr="00E53BDD">
        <w:rPr>
          <w:rFonts w:eastAsia="楷体_GB2312" w:hint="eastAsia"/>
        </w:rPr>
        <w:t>（八）融入长三角知识产权一体化发展</w:t>
      </w:r>
      <w:bookmarkEnd w:id="423"/>
      <w:bookmarkEnd w:id="424"/>
      <w:bookmarkEnd w:id="425"/>
      <w:bookmarkEnd w:id="426"/>
      <w:bookmarkEnd w:id="427"/>
      <w:bookmarkEnd w:id="428"/>
      <w:bookmarkEnd w:id="429"/>
      <w:bookmarkEnd w:id="430"/>
    </w:p>
    <w:p w:rsidR="00833E93" w:rsidRPr="00E53BDD" w:rsidRDefault="00E53BDD">
      <w:pPr>
        <w:pStyle w:val="2"/>
        <w:numPr>
          <w:ilvl w:val="1"/>
          <w:numId w:val="0"/>
        </w:numPr>
        <w:ind w:firstLineChars="200" w:firstLine="602"/>
        <w:rPr>
          <w:rFonts w:ascii="Times New Roman" w:eastAsia="仿宋_GB2312" w:hAnsi="Times New Roman" w:cs="仿宋"/>
          <w:b/>
          <w:bCs/>
          <w:sz w:val="30"/>
          <w:szCs w:val="30"/>
        </w:rPr>
      </w:pPr>
      <w:bookmarkStart w:id="431" w:name="_Toc12594"/>
      <w:bookmarkStart w:id="432" w:name="_Toc15569"/>
      <w:bookmarkStart w:id="433" w:name="_Toc24936"/>
      <w:bookmarkStart w:id="434" w:name="_Toc16875"/>
      <w:bookmarkStart w:id="435" w:name="_Toc27305"/>
      <w:bookmarkStart w:id="436" w:name="_Toc2680"/>
      <w:bookmarkStart w:id="437" w:name="_Toc4100"/>
      <w:bookmarkStart w:id="438" w:name="_Toc31824"/>
      <w:bookmarkStart w:id="439" w:name="_Toc20268"/>
      <w:bookmarkStart w:id="440" w:name="_Toc26152"/>
      <w:bookmarkStart w:id="441" w:name="_Toc19717"/>
      <w:bookmarkStart w:id="442" w:name="_Toc19629"/>
      <w:bookmarkStart w:id="443" w:name="_Toc22986"/>
      <w:bookmarkStart w:id="444" w:name="_Toc7668"/>
      <w:r w:rsidRPr="00E53BDD">
        <w:rPr>
          <w:rFonts w:ascii="Times New Roman" w:eastAsia="仿宋_GB2312" w:hAnsi="Times New Roman" w:cs="仿宋" w:hint="eastAsia"/>
          <w:b/>
          <w:bCs/>
          <w:sz w:val="30"/>
          <w:szCs w:val="30"/>
        </w:rPr>
        <w:t>23.</w:t>
      </w:r>
      <w:r w:rsidRPr="00E53BDD">
        <w:rPr>
          <w:rFonts w:ascii="Times New Roman" w:eastAsia="仿宋_GB2312" w:hAnsi="Times New Roman" w:cs="仿宋" w:hint="eastAsia"/>
          <w:b/>
          <w:bCs/>
          <w:sz w:val="30"/>
          <w:szCs w:val="30"/>
        </w:rPr>
        <w:t>推进区域知识产权协同创新发展</w:t>
      </w:r>
      <w:bookmarkEnd w:id="431"/>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积极参与长三角一体化发展战略实施，深度落实《嘉昆太知识产权保护共同宣言》，乘“沪苏同城”东风，发挥知识产权司法保护资源叠加优势，与苏州昆山、上海嘉定合作开展知识产权协同保护机制建设，促进跨区域、跨部门知识产权联动保护，实现跨区域知识产权</w:t>
      </w:r>
      <w:proofErr w:type="gramStart"/>
      <w:r w:rsidRPr="00E53BDD">
        <w:rPr>
          <w:rFonts w:eastAsia="仿宋_GB2312" w:cs="仿宋" w:hint="eastAsia"/>
          <w:sz w:val="32"/>
          <w:szCs w:val="32"/>
        </w:rPr>
        <w:t>信息共联共享</w:t>
      </w:r>
      <w:proofErr w:type="gramEnd"/>
      <w:r w:rsidRPr="00E53BDD">
        <w:rPr>
          <w:rFonts w:eastAsia="仿宋_GB2312" w:cs="仿宋" w:hint="eastAsia"/>
          <w:sz w:val="32"/>
          <w:szCs w:val="32"/>
        </w:rPr>
        <w:t>，消除“信息孤岛”，推动三地知识产权执法互助、监管互动、信息互通、经验互鉴，形成纠纷调解、仲裁等资源共享和业务合作。紧扣一体化和高质量两个关键，以中</w:t>
      </w:r>
      <w:proofErr w:type="gramStart"/>
      <w:r w:rsidRPr="00E53BDD">
        <w:rPr>
          <w:rFonts w:eastAsia="仿宋_GB2312" w:cs="仿宋" w:hint="eastAsia"/>
          <w:sz w:val="32"/>
          <w:szCs w:val="32"/>
        </w:rPr>
        <w:t>德创新</w:t>
      </w:r>
      <w:proofErr w:type="gramEnd"/>
      <w:r w:rsidRPr="00E53BDD">
        <w:rPr>
          <w:rFonts w:eastAsia="仿宋_GB2312" w:cs="仿宋" w:hint="eastAsia"/>
          <w:sz w:val="32"/>
          <w:szCs w:val="32"/>
        </w:rPr>
        <w:t>城（娄江新城）为核心，以中</w:t>
      </w:r>
      <w:proofErr w:type="gramStart"/>
      <w:r w:rsidRPr="00E53BDD">
        <w:rPr>
          <w:rFonts w:eastAsia="仿宋_GB2312" w:cs="仿宋" w:hint="eastAsia"/>
          <w:sz w:val="32"/>
          <w:szCs w:val="32"/>
        </w:rPr>
        <w:t>德产业</w:t>
      </w:r>
      <w:proofErr w:type="gramEnd"/>
      <w:r w:rsidRPr="00E53BDD">
        <w:rPr>
          <w:rFonts w:eastAsia="仿宋_GB2312" w:cs="仿宋" w:hint="eastAsia"/>
          <w:sz w:val="32"/>
          <w:szCs w:val="32"/>
        </w:rPr>
        <w:t>合作为抓手，支持各</w:t>
      </w:r>
      <w:proofErr w:type="gramStart"/>
      <w:r w:rsidRPr="00E53BDD">
        <w:rPr>
          <w:rFonts w:eastAsia="仿宋_GB2312" w:cs="仿宋" w:hint="eastAsia"/>
          <w:sz w:val="32"/>
          <w:szCs w:val="32"/>
        </w:rPr>
        <w:t>类创新</w:t>
      </w:r>
      <w:proofErr w:type="gramEnd"/>
      <w:r w:rsidRPr="00E53BDD">
        <w:rPr>
          <w:rFonts w:eastAsia="仿宋_GB2312" w:cs="仿宋" w:hint="eastAsia"/>
          <w:sz w:val="32"/>
          <w:szCs w:val="32"/>
        </w:rPr>
        <w:t>主体融入长三角协同创新共同体，联合提升企业专利质量、知识产权运用能力和创新能力，强化关键技术协同攻关。</w:t>
      </w:r>
    </w:p>
    <w:p w:rsidR="00833E93" w:rsidRDefault="00E53BDD">
      <w:pPr>
        <w:pStyle w:val="1"/>
        <w:ind w:firstLine="640"/>
      </w:pPr>
      <w:bookmarkStart w:id="445" w:name="_Toc11694"/>
      <w:bookmarkStart w:id="446" w:name="_Toc13932"/>
      <w:bookmarkStart w:id="447" w:name="_Toc24831"/>
      <w:bookmarkStart w:id="448" w:name="_Toc6212"/>
      <w:bookmarkStart w:id="449" w:name="_Toc5453"/>
      <w:bookmarkStart w:id="450" w:name="_Toc11094"/>
      <w:bookmarkStart w:id="451" w:name="_Toc21334"/>
      <w:bookmarkStart w:id="452" w:name="_Toc12115"/>
      <w:bookmarkStart w:id="453" w:name="_Toc7756"/>
      <w:bookmarkEnd w:id="419"/>
      <w:bookmarkEnd w:id="432"/>
      <w:bookmarkEnd w:id="433"/>
      <w:bookmarkEnd w:id="434"/>
      <w:bookmarkEnd w:id="435"/>
      <w:bookmarkEnd w:id="436"/>
      <w:bookmarkEnd w:id="437"/>
      <w:bookmarkEnd w:id="438"/>
      <w:bookmarkEnd w:id="439"/>
      <w:bookmarkEnd w:id="440"/>
      <w:bookmarkEnd w:id="441"/>
      <w:bookmarkEnd w:id="442"/>
      <w:bookmarkEnd w:id="443"/>
      <w:bookmarkEnd w:id="444"/>
      <w:r>
        <w:t>工作保障</w:t>
      </w:r>
      <w:bookmarkEnd w:id="445"/>
      <w:bookmarkEnd w:id="446"/>
      <w:bookmarkEnd w:id="447"/>
      <w:bookmarkEnd w:id="448"/>
      <w:bookmarkEnd w:id="449"/>
      <w:bookmarkEnd w:id="450"/>
      <w:bookmarkEnd w:id="451"/>
      <w:bookmarkEnd w:id="452"/>
      <w:bookmarkEnd w:id="453"/>
    </w:p>
    <w:p w:rsidR="00833E93" w:rsidRPr="00E53BDD" w:rsidRDefault="00E53BDD">
      <w:pPr>
        <w:pStyle w:val="2"/>
        <w:numPr>
          <w:ilvl w:val="1"/>
          <w:numId w:val="0"/>
        </w:numPr>
        <w:ind w:firstLineChars="200" w:firstLine="640"/>
        <w:rPr>
          <w:rFonts w:eastAsia="楷体_GB2312"/>
        </w:rPr>
      </w:pPr>
      <w:bookmarkStart w:id="454" w:name="_Toc9164"/>
      <w:bookmarkStart w:id="455" w:name="_Toc17407"/>
      <w:bookmarkStart w:id="456" w:name="_Toc24024"/>
      <w:bookmarkStart w:id="457" w:name="_Toc11313"/>
      <w:bookmarkStart w:id="458" w:name="_Toc13782"/>
      <w:bookmarkStart w:id="459" w:name="_Toc26592"/>
      <w:bookmarkStart w:id="460" w:name="_Toc17670"/>
      <w:bookmarkStart w:id="461" w:name="_Toc7423"/>
      <w:bookmarkStart w:id="462" w:name="_Toc27009"/>
      <w:r w:rsidRPr="00E53BDD">
        <w:rPr>
          <w:rFonts w:eastAsia="楷体_GB2312" w:hint="eastAsia"/>
        </w:rPr>
        <w:t>（一）加强组织领导</w:t>
      </w:r>
      <w:bookmarkEnd w:id="454"/>
      <w:bookmarkEnd w:id="455"/>
      <w:bookmarkEnd w:id="456"/>
      <w:bookmarkEnd w:id="457"/>
      <w:bookmarkEnd w:id="458"/>
      <w:bookmarkEnd w:id="459"/>
      <w:bookmarkEnd w:id="460"/>
      <w:bookmarkEnd w:id="461"/>
      <w:bookmarkEnd w:id="462"/>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全面贯彻落</w:t>
      </w:r>
      <w:proofErr w:type="gramStart"/>
      <w:r w:rsidRPr="00E53BDD">
        <w:rPr>
          <w:rFonts w:eastAsia="仿宋_GB2312" w:cs="仿宋" w:hint="eastAsia"/>
          <w:sz w:val="32"/>
          <w:szCs w:val="32"/>
        </w:rPr>
        <w:t>实习近</w:t>
      </w:r>
      <w:proofErr w:type="gramEnd"/>
      <w:r w:rsidRPr="00E53BDD">
        <w:rPr>
          <w:rFonts w:eastAsia="仿宋_GB2312" w:cs="仿宋" w:hint="eastAsia"/>
          <w:sz w:val="32"/>
          <w:szCs w:val="32"/>
        </w:rPr>
        <w:t>平新时代中国特色社会主义思想，坚持和强化党对知识产权工作的全面领导，确保知识产权事业发展方向正确。充分发挥市知识产权联席会议制度作用，统筹协调各方力量，健全知识产权综合管理体制机制，形成强大工作合力。</w:t>
      </w:r>
    </w:p>
    <w:p w:rsidR="00833E93" w:rsidRPr="00E53BDD" w:rsidRDefault="00E53BDD">
      <w:pPr>
        <w:pStyle w:val="2"/>
        <w:numPr>
          <w:ilvl w:val="1"/>
          <w:numId w:val="0"/>
        </w:numPr>
        <w:ind w:firstLineChars="200" w:firstLine="640"/>
        <w:rPr>
          <w:rFonts w:eastAsia="楷体_GB2312"/>
        </w:rPr>
      </w:pPr>
      <w:bookmarkStart w:id="463" w:name="_Toc12497"/>
      <w:bookmarkStart w:id="464" w:name="_Toc28421"/>
      <w:bookmarkStart w:id="465" w:name="_Toc5510"/>
      <w:bookmarkStart w:id="466" w:name="_Toc11081"/>
      <w:bookmarkStart w:id="467" w:name="_Toc28225"/>
      <w:bookmarkStart w:id="468" w:name="_Toc24123"/>
      <w:bookmarkStart w:id="469" w:name="_Toc27334"/>
      <w:bookmarkStart w:id="470" w:name="_Toc7122"/>
      <w:bookmarkStart w:id="471" w:name="_Toc18862"/>
      <w:r w:rsidRPr="00E53BDD">
        <w:rPr>
          <w:rFonts w:eastAsia="楷体_GB2312" w:hint="eastAsia"/>
        </w:rPr>
        <w:t>（二）加大投入力度</w:t>
      </w:r>
      <w:bookmarkEnd w:id="463"/>
      <w:bookmarkEnd w:id="464"/>
      <w:bookmarkEnd w:id="465"/>
      <w:bookmarkEnd w:id="466"/>
      <w:bookmarkEnd w:id="467"/>
      <w:bookmarkEnd w:id="468"/>
      <w:bookmarkEnd w:id="469"/>
      <w:bookmarkEnd w:id="470"/>
      <w:bookmarkEnd w:id="471"/>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建立和完善知识产权发展投入保障机制，加大政府对知识产权工作投入力度。引导和激励市场加大知识产权资金投入，形成政府财政与社会资金共同作用体系。统筹知识产权公共资源、科学编制资金使用预算，突出投入重点、优化支出结构，保障重点任务、重要举措的落实。</w:t>
      </w:r>
    </w:p>
    <w:p w:rsidR="00833E93" w:rsidRPr="00E53BDD" w:rsidRDefault="00E53BDD">
      <w:pPr>
        <w:pStyle w:val="2"/>
        <w:numPr>
          <w:ilvl w:val="1"/>
          <w:numId w:val="0"/>
        </w:numPr>
        <w:ind w:firstLineChars="200" w:firstLine="640"/>
        <w:rPr>
          <w:rFonts w:eastAsia="楷体_GB2312"/>
        </w:rPr>
      </w:pPr>
      <w:bookmarkStart w:id="472" w:name="_Toc18537"/>
      <w:r w:rsidRPr="00E53BDD">
        <w:rPr>
          <w:rFonts w:eastAsia="楷体_GB2312" w:hint="eastAsia"/>
        </w:rPr>
        <w:t>（三）强化监测评估</w:t>
      </w:r>
      <w:bookmarkEnd w:id="472"/>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加强对规划实施情况的监测评估，建立科学有效的规划实施绩效监测评价体系。引入第三方开展监测评估，健全年度监测分析、中期评估、总结评估的全过程评估体系。强化监测评估结果应用，及时总结推广规划实施过程中好的做法经验，提出规划实施的意见和建议，保障本规划科学有序实施。</w:t>
      </w:r>
    </w:p>
    <w:p w:rsidR="00833E93" w:rsidRPr="00E53BDD" w:rsidRDefault="00E53BDD">
      <w:pPr>
        <w:pStyle w:val="2"/>
        <w:numPr>
          <w:ilvl w:val="1"/>
          <w:numId w:val="0"/>
        </w:numPr>
        <w:ind w:firstLineChars="200" w:firstLine="640"/>
        <w:rPr>
          <w:rFonts w:eastAsia="楷体_GB2312"/>
        </w:rPr>
      </w:pPr>
      <w:bookmarkStart w:id="473" w:name="_Toc5840"/>
      <w:bookmarkStart w:id="474" w:name="_Toc28402"/>
      <w:bookmarkStart w:id="475" w:name="_Toc24679"/>
      <w:bookmarkStart w:id="476" w:name="_Toc11256"/>
      <w:bookmarkStart w:id="477" w:name="_Toc11582"/>
      <w:bookmarkStart w:id="478" w:name="_Toc3471"/>
      <w:bookmarkStart w:id="479" w:name="_Toc344"/>
      <w:bookmarkStart w:id="480" w:name="_Toc25167"/>
      <w:bookmarkStart w:id="481" w:name="_Toc21779"/>
      <w:r w:rsidRPr="00E53BDD">
        <w:rPr>
          <w:rFonts w:eastAsia="楷体_GB2312" w:hint="eastAsia"/>
        </w:rPr>
        <w:t>（四）营造文化氛围</w:t>
      </w:r>
      <w:bookmarkEnd w:id="473"/>
      <w:bookmarkEnd w:id="474"/>
      <w:bookmarkEnd w:id="475"/>
      <w:bookmarkEnd w:id="476"/>
      <w:bookmarkEnd w:id="477"/>
      <w:bookmarkEnd w:id="478"/>
      <w:bookmarkEnd w:id="479"/>
      <w:bookmarkEnd w:id="480"/>
      <w:bookmarkEnd w:id="481"/>
    </w:p>
    <w:p w:rsidR="00833E93" w:rsidRPr="00E53BDD" w:rsidRDefault="00E53BDD">
      <w:pPr>
        <w:spacing w:line="560" w:lineRule="exact"/>
        <w:ind w:firstLine="640"/>
        <w:rPr>
          <w:rFonts w:eastAsia="仿宋_GB2312" w:cs="仿宋"/>
          <w:sz w:val="32"/>
          <w:szCs w:val="32"/>
        </w:rPr>
      </w:pPr>
      <w:r w:rsidRPr="00E53BDD">
        <w:rPr>
          <w:rFonts w:eastAsia="仿宋_GB2312" w:cs="仿宋" w:hint="eastAsia"/>
          <w:sz w:val="32"/>
          <w:szCs w:val="32"/>
        </w:rPr>
        <w:t>大力倡导知识产权文化，推进知识产权与传统文化、创新文化、法治文化、诚信文化深度融合。重视知识产权普及教育，推进知识产权宣传进企业、进单位、进社区、进学校、进网络等活动。积极构建知识产权宣传工作格局，统筹公共与社会宣传资源，营造尊重创新、保护创造的良好社会氛围。</w:t>
      </w:r>
    </w:p>
    <w:sectPr w:rsidR="00833E93" w:rsidRPr="00E53BDD" w:rsidSect="00833E93">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AA" w:rsidRDefault="00AE22AA">
      <w:pPr>
        <w:spacing w:line="240" w:lineRule="auto"/>
        <w:ind w:firstLine="480"/>
      </w:pPr>
      <w:r>
        <w:separator/>
      </w:r>
    </w:p>
  </w:endnote>
  <w:endnote w:type="continuationSeparator" w:id="0">
    <w:p w:rsidR="00AE22AA" w:rsidRDefault="00AE22A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C45D2C">
    <w:pPr>
      <w:pStyle w:val="a7"/>
      <w:ind w:firstLine="360"/>
    </w:pPr>
    <w: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outside;mso-position-horizontal-relative:margin" filled="f" stroked="f" strokeweight=".5pt">
          <v:textbox style="mso-fit-shape-to-text:t" inset="0,0,0,0">
            <w:txbxContent>
              <w:p w:rsidR="00E53BDD" w:rsidRDefault="00E53BDD" w:rsidP="00E53BDD">
                <w:pPr>
                  <w:pStyle w:val="a7"/>
                  <w:ind w:firstLine="560"/>
                  <w:rPr>
                    <w:rFonts w:ascii="宋体" w:eastAsia="宋体" w:hAnsi="宋体" w:cs="宋体"/>
                    <w:sz w:val="28"/>
                    <w:szCs w:val="28"/>
                  </w:rPr>
                </w:pPr>
                <w:r>
                  <w:rPr>
                    <w:rFonts w:ascii="宋体" w:eastAsia="宋体" w:hAnsi="宋体" w:cs="宋体" w:hint="eastAsia"/>
                    <w:sz w:val="28"/>
                    <w:szCs w:val="28"/>
                  </w:rPr>
                  <w:t xml:space="preserve">— </w:t>
                </w:r>
                <w:r w:rsidR="00C45D2C">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C45D2C">
                  <w:rPr>
                    <w:rFonts w:ascii="宋体" w:eastAsia="宋体" w:hAnsi="宋体" w:cs="宋体" w:hint="eastAsia"/>
                    <w:sz w:val="28"/>
                    <w:szCs w:val="28"/>
                  </w:rPr>
                  <w:fldChar w:fldCharType="separate"/>
                </w:r>
                <w:r w:rsidR="005F6082">
                  <w:rPr>
                    <w:rFonts w:ascii="宋体" w:eastAsia="宋体" w:hAnsi="宋体" w:cs="宋体"/>
                    <w:noProof/>
                    <w:sz w:val="28"/>
                    <w:szCs w:val="28"/>
                  </w:rPr>
                  <w:t>24</w:t>
                </w:r>
                <w:r w:rsidR="00C45D2C">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AA" w:rsidRDefault="00AE22AA">
      <w:pPr>
        <w:ind w:firstLine="480"/>
      </w:pPr>
      <w:r>
        <w:separator/>
      </w:r>
    </w:p>
  </w:footnote>
  <w:footnote w:type="continuationSeparator" w:id="0">
    <w:p w:rsidR="00AE22AA" w:rsidRDefault="00AE22A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D" w:rsidRDefault="00E53BDD">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DF14A3"/>
    <w:multiLevelType w:val="multilevel"/>
    <w:tmpl w:val="CEDF14A3"/>
    <w:lvl w:ilvl="0">
      <w:start w:val="1"/>
      <w:numFmt w:val="chineseCounting"/>
      <w:pStyle w:val="a"/>
      <w:suff w:val="nothing"/>
      <w:lvlText w:val="%1、"/>
      <w:lvlJc w:val="left"/>
      <w:pPr>
        <w:tabs>
          <w:tab w:val="left" w:pos="0"/>
        </w:tabs>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0"/>
      </w:pPr>
      <w:rPr>
        <w:rFonts w:ascii="宋体" w:eastAsia="宋体" w:hAnsi="宋体" w:cs="宋体" w:hint="eastAsia"/>
      </w:rPr>
    </w:lvl>
    <w:lvl w:ilvl="3">
      <w:start w:val="1"/>
      <w:numFmt w:val="decimal"/>
      <w:suff w:val="nothing"/>
      <w:lvlText w:val="（%4）"/>
      <w:lvlJc w:val="left"/>
      <w:pPr>
        <w:ind w:left="0" w:firstLine="0"/>
      </w:pPr>
      <w:rPr>
        <w:rFonts w:ascii="宋体" w:eastAsia="宋体" w:hAnsi="宋体" w:cs="宋体" w:hint="eastAsia"/>
      </w:rPr>
    </w:lvl>
    <w:lvl w:ilvl="4">
      <w:start w:val="1"/>
      <w:numFmt w:val="decimalEnclosedCircleChinese"/>
      <w:suff w:val="nothing"/>
      <w:lvlText w:val="%5"/>
      <w:lvlJc w:val="left"/>
      <w:pPr>
        <w:ind w:left="0" w:firstLine="0"/>
      </w:pPr>
      <w:rPr>
        <w:rFonts w:ascii="宋体" w:eastAsia="宋体" w:hAnsi="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6942876F"/>
    <w:multiLevelType w:val="multilevel"/>
    <w:tmpl w:val="6942876F"/>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tabs>
          <w:tab w:val="left" w:pos="0"/>
        </w:tabs>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震力">
    <w15:presenceInfo w15:providerId="None" w15:userId="张震力"/>
  </w15:person>
  <w15:person w15:author="Tony">
    <w15:presenceInfo w15:providerId="WPS Office" w15:userId="36981166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U3ODY1OGIzNjJkNTFiNDFkMDI4ZjMzYTYzMDM1NGQifQ=="/>
  </w:docVars>
  <w:rsids>
    <w:rsidRoot w:val="23044042"/>
    <w:rsid w:val="00084294"/>
    <w:rsid w:val="000B063B"/>
    <w:rsid w:val="000C6A5F"/>
    <w:rsid w:val="000E7B9C"/>
    <w:rsid w:val="00117BF8"/>
    <w:rsid w:val="001A0BA0"/>
    <w:rsid w:val="001D2841"/>
    <w:rsid w:val="001F74CA"/>
    <w:rsid w:val="00242140"/>
    <w:rsid w:val="00247316"/>
    <w:rsid w:val="002664FB"/>
    <w:rsid w:val="002F3B9D"/>
    <w:rsid w:val="00366C54"/>
    <w:rsid w:val="004200D1"/>
    <w:rsid w:val="00450F38"/>
    <w:rsid w:val="004764AF"/>
    <w:rsid w:val="005F6082"/>
    <w:rsid w:val="0067565C"/>
    <w:rsid w:val="006D5C9A"/>
    <w:rsid w:val="00717F28"/>
    <w:rsid w:val="00761EA5"/>
    <w:rsid w:val="007713E6"/>
    <w:rsid w:val="007804C4"/>
    <w:rsid w:val="007D14A8"/>
    <w:rsid w:val="00833E93"/>
    <w:rsid w:val="00847858"/>
    <w:rsid w:val="008C3A2C"/>
    <w:rsid w:val="008D783F"/>
    <w:rsid w:val="0097263F"/>
    <w:rsid w:val="009945AD"/>
    <w:rsid w:val="009A7F06"/>
    <w:rsid w:val="00A353E2"/>
    <w:rsid w:val="00AC6A43"/>
    <w:rsid w:val="00AE22AA"/>
    <w:rsid w:val="00AF3706"/>
    <w:rsid w:val="00B06357"/>
    <w:rsid w:val="00B31EF8"/>
    <w:rsid w:val="00B33F69"/>
    <w:rsid w:val="00C0286B"/>
    <w:rsid w:val="00C1123F"/>
    <w:rsid w:val="00C45889"/>
    <w:rsid w:val="00C45D2C"/>
    <w:rsid w:val="00CA07AD"/>
    <w:rsid w:val="00CB085E"/>
    <w:rsid w:val="00CD047D"/>
    <w:rsid w:val="00D053C2"/>
    <w:rsid w:val="00D21A59"/>
    <w:rsid w:val="00DB30FE"/>
    <w:rsid w:val="00E53BDD"/>
    <w:rsid w:val="00E842DA"/>
    <w:rsid w:val="00E91CF9"/>
    <w:rsid w:val="00ED7A13"/>
    <w:rsid w:val="00F6208A"/>
    <w:rsid w:val="00FA00A3"/>
    <w:rsid w:val="01041BB9"/>
    <w:rsid w:val="014E35AB"/>
    <w:rsid w:val="0157764A"/>
    <w:rsid w:val="019B1886"/>
    <w:rsid w:val="027F3841"/>
    <w:rsid w:val="02E82967"/>
    <w:rsid w:val="047F05E1"/>
    <w:rsid w:val="054D5E79"/>
    <w:rsid w:val="058C3A19"/>
    <w:rsid w:val="05FB33F4"/>
    <w:rsid w:val="068A5E88"/>
    <w:rsid w:val="06B34AE5"/>
    <w:rsid w:val="06C176CF"/>
    <w:rsid w:val="06E708C4"/>
    <w:rsid w:val="07375F77"/>
    <w:rsid w:val="07673917"/>
    <w:rsid w:val="079E3E7E"/>
    <w:rsid w:val="07C65B57"/>
    <w:rsid w:val="07E775D3"/>
    <w:rsid w:val="086F7B14"/>
    <w:rsid w:val="08E906EF"/>
    <w:rsid w:val="08F05693"/>
    <w:rsid w:val="092D7E80"/>
    <w:rsid w:val="0A450784"/>
    <w:rsid w:val="0A747118"/>
    <w:rsid w:val="0A893AFE"/>
    <w:rsid w:val="0AC40082"/>
    <w:rsid w:val="0AD66578"/>
    <w:rsid w:val="0B5E2E20"/>
    <w:rsid w:val="0B5E4F5E"/>
    <w:rsid w:val="0BA0134E"/>
    <w:rsid w:val="0BBB20D3"/>
    <w:rsid w:val="0BC860B1"/>
    <w:rsid w:val="0BEF247C"/>
    <w:rsid w:val="0BFF5331"/>
    <w:rsid w:val="0C446145"/>
    <w:rsid w:val="0CA90F10"/>
    <w:rsid w:val="0CBC071C"/>
    <w:rsid w:val="0CCC6D98"/>
    <w:rsid w:val="0D1B38C9"/>
    <w:rsid w:val="0DAE1364"/>
    <w:rsid w:val="0E406050"/>
    <w:rsid w:val="0E456E02"/>
    <w:rsid w:val="0F7278D9"/>
    <w:rsid w:val="10625A8B"/>
    <w:rsid w:val="108C3A44"/>
    <w:rsid w:val="10C36E35"/>
    <w:rsid w:val="1117040B"/>
    <w:rsid w:val="112C71E2"/>
    <w:rsid w:val="11690A83"/>
    <w:rsid w:val="119A7465"/>
    <w:rsid w:val="121F796A"/>
    <w:rsid w:val="12293CC1"/>
    <w:rsid w:val="125974CB"/>
    <w:rsid w:val="128359E2"/>
    <w:rsid w:val="12B04A66"/>
    <w:rsid w:val="12B56B32"/>
    <w:rsid w:val="12F804CD"/>
    <w:rsid w:val="137B69BE"/>
    <w:rsid w:val="14784E0D"/>
    <w:rsid w:val="1488470F"/>
    <w:rsid w:val="14A7534D"/>
    <w:rsid w:val="1586638D"/>
    <w:rsid w:val="15981F0D"/>
    <w:rsid w:val="15C947BC"/>
    <w:rsid w:val="15EB2DEB"/>
    <w:rsid w:val="161D0687"/>
    <w:rsid w:val="164449FE"/>
    <w:rsid w:val="1675224E"/>
    <w:rsid w:val="171A4E64"/>
    <w:rsid w:val="17A0779F"/>
    <w:rsid w:val="17D16F54"/>
    <w:rsid w:val="18F32C53"/>
    <w:rsid w:val="19666EA6"/>
    <w:rsid w:val="1AC45552"/>
    <w:rsid w:val="1BC32033"/>
    <w:rsid w:val="1BEA0EA3"/>
    <w:rsid w:val="1C582353"/>
    <w:rsid w:val="1C6C22C0"/>
    <w:rsid w:val="1C754312"/>
    <w:rsid w:val="1C9F5A27"/>
    <w:rsid w:val="1CAD3B5B"/>
    <w:rsid w:val="1CB644A4"/>
    <w:rsid w:val="1CC31428"/>
    <w:rsid w:val="1CFD08E3"/>
    <w:rsid w:val="1D061E52"/>
    <w:rsid w:val="1D491D3F"/>
    <w:rsid w:val="1D937927"/>
    <w:rsid w:val="1DA22299"/>
    <w:rsid w:val="1E00498F"/>
    <w:rsid w:val="1E1862E1"/>
    <w:rsid w:val="1EAF5A4D"/>
    <w:rsid w:val="1F1645FC"/>
    <w:rsid w:val="1F4B7874"/>
    <w:rsid w:val="1FBE0986"/>
    <w:rsid w:val="20BE1D75"/>
    <w:rsid w:val="211A411E"/>
    <w:rsid w:val="21B674C9"/>
    <w:rsid w:val="223905D4"/>
    <w:rsid w:val="22710E72"/>
    <w:rsid w:val="228A52D3"/>
    <w:rsid w:val="22C52EB2"/>
    <w:rsid w:val="22D0774A"/>
    <w:rsid w:val="23044042"/>
    <w:rsid w:val="231057D9"/>
    <w:rsid w:val="23597C0D"/>
    <w:rsid w:val="24724281"/>
    <w:rsid w:val="24D61163"/>
    <w:rsid w:val="253D6CF6"/>
    <w:rsid w:val="25D27598"/>
    <w:rsid w:val="25FB5447"/>
    <w:rsid w:val="25FE3517"/>
    <w:rsid w:val="26154EB4"/>
    <w:rsid w:val="26EC2FDB"/>
    <w:rsid w:val="27312345"/>
    <w:rsid w:val="28287D92"/>
    <w:rsid w:val="28DF7DF7"/>
    <w:rsid w:val="293B4155"/>
    <w:rsid w:val="2A033B5C"/>
    <w:rsid w:val="2AFD2A06"/>
    <w:rsid w:val="2C16579E"/>
    <w:rsid w:val="2E56075F"/>
    <w:rsid w:val="2F7A31C9"/>
    <w:rsid w:val="2F807842"/>
    <w:rsid w:val="2F824954"/>
    <w:rsid w:val="2FDE27BA"/>
    <w:rsid w:val="2FE07D88"/>
    <w:rsid w:val="30E402A4"/>
    <w:rsid w:val="310A149A"/>
    <w:rsid w:val="318D26EA"/>
    <w:rsid w:val="31B71E96"/>
    <w:rsid w:val="31C3435E"/>
    <w:rsid w:val="31C869A7"/>
    <w:rsid w:val="32186CC0"/>
    <w:rsid w:val="329D04E1"/>
    <w:rsid w:val="32E225C2"/>
    <w:rsid w:val="332D4007"/>
    <w:rsid w:val="335D7540"/>
    <w:rsid w:val="336D23EC"/>
    <w:rsid w:val="33B64FB5"/>
    <w:rsid w:val="34894B8C"/>
    <w:rsid w:val="348B3862"/>
    <w:rsid w:val="34B65AB4"/>
    <w:rsid w:val="34D643A8"/>
    <w:rsid w:val="34F40C93"/>
    <w:rsid w:val="350D7694"/>
    <w:rsid w:val="35102441"/>
    <w:rsid w:val="355C48AD"/>
    <w:rsid w:val="35873CC0"/>
    <w:rsid w:val="35B93E03"/>
    <w:rsid w:val="36153027"/>
    <w:rsid w:val="366A2B15"/>
    <w:rsid w:val="37180CA8"/>
    <w:rsid w:val="38080D1C"/>
    <w:rsid w:val="380E6939"/>
    <w:rsid w:val="390171DA"/>
    <w:rsid w:val="3962445C"/>
    <w:rsid w:val="396928F7"/>
    <w:rsid w:val="39934216"/>
    <w:rsid w:val="39AB7A5A"/>
    <w:rsid w:val="39FF7EFD"/>
    <w:rsid w:val="3A5C534F"/>
    <w:rsid w:val="3A6963D8"/>
    <w:rsid w:val="3AC818AD"/>
    <w:rsid w:val="3B336AF4"/>
    <w:rsid w:val="3BAD3327"/>
    <w:rsid w:val="3C0F0E63"/>
    <w:rsid w:val="3C217B82"/>
    <w:rsid w:val="3C3A05B5"/>
    <w:rsid w:val="3C6B3A35"/>
    <w:rsid w:val="3C6D7A2B"/>
    <w:rsid w:val="3D13665C"/>
    <w:rsid w:val="3D945324"/>
    <w:rsid w:val="3DB651BA"/>
    <w:rsid w:val="3E4B3D6A"/>
    <w:rsid w:val="3E5E5032"/>
    <w:rsid w:val="3E764F4E"/>
    <w:rsid w:val="3E99356D"/>
    <w:rsid w:val="3ECD7049"/>
    <w:rsid w:val="3F600F8D"/>
    <w:rsid w:val="3F9909C2"/>
    <w:rsid w:val="4056217B"/>
    <w:rsid w:val="405F07C0"/>
    <w:rsid w:val="40714F85"/>
    <w:rsid w:val="407707ED"/>
    <w:rsid w:val="40E045E4"/>
    <w:rsid w:val="415B172B"/>
    <w:rsid w:val="41F750A9"/>
    <w:rsid w:val="42133BF7"/>
    <w:rsid w:val="427A6373"/>
    <w:rsid w:val="428C1643"/>
    <w:rsid w:val="431C56C1"/>
    <w:rsid w:val="441427F7"/>
    <w:rsid w:val="44A4014A"/>
    <w:rsid w:val="4517491E"/>
    <w:rsid w:val="45B05537"/>
    <w:rsid w:val="45D34506"/>
    <w:rsid w:val="46B506E4"/>
    <w:rsid w:val="47132953"/>
    <w:rsid w:val="474218BE"/>
    <w:rsid w:val="4762561B"/>
    <w:rsid w:val="47635398"/>
    <w:rsid w:val="47B62742"/>
    <w:rsid w:val="47DC7817"/>
    <w:rsid w:val="48E1539E"/>
    <w:rsid w:val="4912143C"/>
    <w:rsid w:val="49520245"/>
    <w:rsid w:val="496E1147"/>
    <w:rsid w:val="497822AC"/>
    <w:rsid w:val="49A7795D"/>
    <w:rsid w:val="49C56A6D"/>
    <w:rsid w:val="49D06A74"/>
    <w:rsid w:val="4A424D70"/>
    <w:rsid w:val="4ADF6309"/>
    <w:rsid w:val="4B5A1437"/>
    <w:rsid w:val="4BCD708F"/>
    <w:rsid w:val="4BDB6396"/>
    <w:rsid w:val="4C541FD2"/>
    <w:rsid w:val="4C9C7AC9"/>
    <w:rsid w:val="4D920B30"/>
    <w:rsid w:val="4E1017B6"/>
    <w:rsid w:val="4EC70675"/>
    <w:rsid w:val="4F3123CB"/>
    <w:rsid w:val="4F483EC3"/>
    <w:rsid w:val="4FE413B2"/>
    <w:rsid w:val="4FFB6CD8"/>
    <w:rsid w:val="50715259"/>
    <w:rsid w:val="508A3C71"/>
    <w:rsid w:val="51025EB1"/>
    <w:rsid w:val="51686F8D"/>
    <w:rsid w:val="519D6E90"/>
    <w:rsid w:val="51A40129"/>
    <w:rsid w:val="51B463B7"/>
    <w:rsid w:val="52220445"/>
    <w:rsid w:val="52240369"/>
    <w:rsid w:val="52716554"/>
    <w:rsid w:val="529F33A6"/>
    <w:rsid w:val="52A2375A"/>
    <w:rsid w:val="52BD7445"/>
    <w:rsid w:val="52CA76D1"/>
    <w:rsid w:val="52FB0898"/>
    <w:rsid w:val="530D2B4F"/>
    <w:rsid w:val="53516C76"/>
    <w:rsid w:val="538768B4"/>
    <w:rsid w:val="53FD49DE"/>
    <w:rsid w:val="541103AD"/>
    <w:rsid w:val="541D5FAC"/>
    <w:rsid w:val="55CF2AA3"/>
    <w:rsid w:val="55DC6814"/>
    <w:rsid w:val="55ED699F"/>
    <w:rsid w:val="56506606"/>
    <w:rsid w:val="566075AC"/>
    <w:rsid w:val="566969D2"/>
    <w:rsid w:val="56DE0C8B"/>
    <w:rsid w:val="573B0F53"/>
    <w:rsid w:val="57803A3C"/>
    <w:rsid w:val="57AC396B"/>
    <w:rsid w:val="59097FF9"/>
    <w:rsid w:val="59F37060"/>
    <w:rsid w:val="5A137381"/>
    <w:rsid w:val="5A2F05C5"/>
    <w:rsid w:val="5A785436"/>
    <w:rsid w:val="5A8A39A1"/>
    <w:rsid w:val="5AA601F5"/>
    <w:rsid w:val="5ABC5E8B"/>
    <w:rsid w:val="5ABF4E13"/>
    <w:rsid w:val="5B0A44BF"/>
    <w:rsid w:val="5BA77B0A"/>
    <w:rsid w:val="5BB219FC"/>
    <w:rsid w:val="5BF412E2"/>
    <w:rsid w:val="5C2556B9"/>
    <w:rsid w:val="5CC65B12"/>
    <w:rsid w:val="5CEB0AAC"/>
    <w:rsid w:val="5D3741C2"/>
    <w:rsid w:val="5D7A432E"/>
    <w:rsid w:val="5DBE68A0"/>
    <w:rsid w:val="5DD873A3"/>
    <w:rsid w:val="5DF41277"/>
    <w:rsid w:val="5E826883"/>
    <w:rsid w:val="5EB70886"/>
    <w:rsid w:val="5ECC38DE"/>
    <w:rsid w:val="5F395877"/>
    <w:rsid w:val="5F6B5CD3"/>
    <w:rsid w:val="5FC46A3F"/>
    <w:rsid w:val="60E46136"/>
    <w:rsid w:val="60ED1E15"/>
    <w:rsid w:val="60FE1634"/>
    <w:rsid w:val="611901F4"/>
    <w:rsid w:val="612A1B73"/>
    <w:rsid w:val="61323F23"/>
    <w:rsid w:val="61A556D5"/>
    <w:rsid w:val="61DE683B"/>
    <w:rsid w:val="6352150E"/>
    <w:rsid w:val="635309BE"/>
    <w:rsid w:val="6381535B"/>
    <w:rsid w:val="63FF3951"/>
    <w:rsid w:val="64061D04"/>
    <w:rsid w:val="64996476"/>
    <w:rsid w:val="64AD3F2E"/>
    <w:rsid w:val="64D67929"/>
    <w:rsid w:val="66737319"/>
    <w:rsid w:val="66AC3D37"/>
    <w:rsid w:val="672571B3"/>
    <w:rsid w:val="67892A30"/>
    <w:rsid w:val="67A30EC3"/>
    <w:rsid w:val="68076E9A"/>
    <w:rsid w:val="68460921"/>
    <w:rsid w:val="684C4348"/>
    <w:rsid w:val="688825FF"/>
    <w:rsid w:val="688A0464"/>
    <w:rsid w:val="69927B3D"/>
    <w:rsid w:val="69A5079C"/>
    <w:rsid w:val="6A1E07C4"/>
    <w:rsid w:val="6A7A488E"/>
    <w:rsid w:val="6B255DA6"/>
    <w:rsid w:val="6B424759"/>
    <w:rsid w:val="6B581CE3"/>
    <w:rsid w:val="6B7C0DFE"/>
    <w:rsid w:val="6B7D20F6"/>
    <w:rsid w:val="6B851A67"/>
    <w:rsid w:val="6BE175C6"/>
    <w:rsid w:val="6C1B4B6C"/>
    <w:rsid w:val="6C557385"/>
    <w:rsid w:val="6C7D6F3E"/>
    <w:rsid w:val="6C9746B4"/>
    <w:rsid w:val="6CA9548B"/>
    <w:rsid w:val="6D765805"/>
    <w:rsid w:val="6DEE183F"/>
    <w:rsid w:val="6DF85D7D"/>
    <w:rsid w:val="6E1814A6"/>
    <w:rsid w:val="6E5E3E8A"/>
    <w:rsid w:val="6F9458F3"/>
    <w:rsid w:val="6F9F7137"/>
    <w:rsid w:val="6FA1567E"/>
    <w:rsid w:val="6FB930B7"/>
    <w:rsid w:val="6FC61848"/>
    <w:rsid w:val="7048679A"/>
    <w:rsid w:val="709D31E7"/>
    <w:rsid w:val="72C45BA4"/>
    <w:rsid w:val="72C629C3"/>
    <w:rsid w:val="72CB51FC"/>
    <w:rsid w:val="73065E04"/>
    <w:rsid w:val="743E1047"/>
    <w:rsid w:val="749018A2"/>
    <w:rsid w:val="749D47FF"/>
    <w:rsid w:val="74DF0D5C"/>
    <w:rsid w:val="75312C96"/>
    <w:rsid w:val="75627313"/>
    <w:rsid w:val="75C86E1A"/>
    <w:rsid w:val="76080005"/>
    <w:rsid w:val="762364AF"/>
    <w:rsid w:val="76CF4DB6"/>
    <w:rsid w:val="76E77774"/>
    <w:rsid w:val="76F16716"/>
    <w:rsid w:val="77091BAC"/>
    <w:rsid w:val="779B121C"/>
    <w:rsid w:val="77BB02C0"/>
    <w:rsid w:val="78BC1E15"/>
    <w:rsid w:val="78C57641"/>
    <w:rsid w:val="78EA70A7"/>
    <w:rsid w:val="7909533E"/>
    <w:rsid w:val="794F11F5"/>
    <w:rsid w:val="79A12481"/>
    <w:rsid w:val="79C9236D"/>
    <w:rsid w:val="7A464A2C"/>
    <w:rsid w:val="7A57076C"/>
    <w:rsid w:val="7A79130D"/>
    <w:rsid w:val="7B5C2F11"/>
    <w:rsid w:val="7B6847D1"/>
    <w:rsid w:val="7C17408A"/>
    <w:rsid w:val="7C496267"/>
    <w:rsid w:val="7C8C1EF5"/>
    <w:rsid w:val="7C8C33CA"/>
    <w:rsid w:val="7C9723A3"/>
    <w:rsid w:val="7D4A236D"/>
    <w:rsid w:val="7D4B2644"/>
    <w:rsid w:val="7DA91C4A"/>
    <w:rsid w:val="7DB71E82"/>
    <w:rsid w:val="7DD03920"/>
    <w:rsid w:val="7DDD07CB"/>
    <w:rsid w:val="7E98005F"/>
    <w:rsid w:val="7EAE6EC5"/>
    <w:rsid w:val="7F6F69E9"/>
    <w:rsid w:val="7FCC26A6"/>
    <w:rsid w:val="7FF23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833E93"/>
    <w:pPr>
      <w:widowControl w:val="0"/>
      <w:spacing w:line="360" w:lineRule="auto"/>
      <w:ind w:firstLineChars="200" w:firstLine="600"/>
      <w:jc w:val="both"/>
    </w:pPr>
    <w:rPr>
      <w:rFonts w:eastAsiaTheme="minorEastAsia" w:cstheme="minorBidi"/>
      <w:kern w:val="2"/>
      <w:sz w:val="24"/>
      <w:szCs w:val="24"/>
    </w:rPr>
  </w:style>
  <w:style w:type="paragraph" w:styleId="1">
    <w:name w:val="heading 1"/>
    <w:basedOn w:val="a0"/>
    <w:next w:val="a0"/>
    <w:qFormat/>
    <w:rsid w:val="00833E93"/>
    <w:pPr>
      <w:keepNext/>
      <w:keepLines/>
      <w:numPr>
        <w:numId w:val="1"/>
      </w:numPr>
      <w:spacing w:line="560" w:lineRule="exact"/>
      <w:ind w:firstLine="960"/>
      <w:outlineLvl w:val="0"/>
    </w:pPr>
    <w:rPr>
      <w:rFonts w:eastAsia="黑体"/>
      <w:kern w:val="44"/>
      <w:sz w:val="32"/>
    </w:rPr>
  </w:style>
  <w:style w:type="paragraph" w:styleId="2">
    <w:name w:val="heading 2"/>
    <w:basedOn w:val="a0"/>
    <w:next w:val="a0"/>
    <w:unhideWhenUsed/>
    <w:qFormat/>
    <w:rsid w:val="00833E93"/>
    <w:pPr>
      <w:keepNext/>
      <w:keepLines/>
      <w:numPr>
        <w:ilvl w:val="1"/>
        <w:numId w:val="1"/>
      </w:numPr>
      <w:spacing w:line="560" w:lineRule="exact"/>
      <w:ind w:firstLine="960"/>
      <w:outlineLvl w:val="1"/>
    </w:pPr>
    <w:rPr>
      <w:rFonts w:ascii="Arial" w:eastAsia="楷体" w:hAnsi="Arial"/>
      <w:sz w:val="32"/>
    </w:rPr>
  </w:style>
  <w:style w:type="paragraph" w:styleId="3">
    <w:name w:val="heading 3"/>
    <w:basedOn w:val="a0"/>
    <w:next w:val="a0"/>
    <w:semiHidden/>
    <w:unhideWhenUsed/>
    <w:qFormat/>
    <w:rsid w:val="00833E93"/>
    <w:pPr>
      <w:keepNext/>
      <w:keepLines/>
      <w:numPr>
        <w:ilvl w:val="2"/>
        <w:numId w:val="1"/>
      </w:numPr>
      <w:spacing w:line="413" w:lineRule="auto"/>
      <w:ind w:firstLineChars="0" w:firstLine="0"/>
      <w:outlineLvl w:val="2"/>
    </w:pPr>
    <w:rPr>
      <w:b/>
      <w:sz w:val="32"/>
    </w:rPr>
  </w:style>
  <w:style w:type="paragraph" w:styleId="4">
    <w:name w:val="heading 4"/>
    <w:basedOn w:val="a0"/>
    <w:next w:val="a0"/>
    <w:semiHidden/>
    <w:unhideWhenUsed/>
    <w:qFormat/>
    <w:rsid w:val="00833E93"/>
    <w:pPr>
      <w:keepNext/>
      <w:keepLines/>
      <w:numPr>
        <w:ilvl w:val="3"/>
        <w:numId w:val="1"/>
      </w:numPr>
      <w:spacing w:line="372" w:lineRule="auto"/>
      <w:ind w:firstLineChars="0" w:firstLine="0"/>
      <w:outlineLvl w:val="3"/>
    </w:pPr>
    <w:rPr>
      <w:rFonts w:ascii="Arial" w:eastAsia="黑体" w:hAnsi="Arial"/>
      <w:b/>
      <w:sz w:val="28"/>
    </w:rPr>
  </w:style>
  <w:style w:type="paragraph" w:styleId="5">
    <w:name w:val="heading 5"/>
    <w:basedOn w:val="a0"/>
    <w:next w:val="a0"/>
    <w:semiHidden/>
    <w:unhideWhenUsed/>
    <w:qFormat/>
    <w:rsid w:val="00833E93"/>
    <w:pPr>
      <w:keepNext/>
      <w:keepLines/>
      <w:numPr>
        <w:ilvl w:val="4"/>
        <w:numId w:val="1"/>
      </w:numPr>
      <w:spacing w:line="372" w:lineRule="auto"/>
      <w:ind w:firstLineChars="0" w:firstLine="0"/>
      <w:outlineLvl w:val="4"/>
    </w:pPr>
    <w:rPr>
      <w:b/>
      <w:sz w:val="28"/>
    </w:rPr>
  </w:style>
  <w:style w:type="paragraph" w:styleId="6">
    <w:name w:val="heading 6"/>
    <w:basedOn w:val="a0"/>
    <w:next w:val="a0"/>
    <w:semiHidden/>
    <w:unhideWhenUsed/>
    <w:qFormat/>
    <w:rsid w:val="00833E93"/>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0"/>
    <w:next w:val="a0"/>
    <w:semiHidden/>
    <w:unhideWhenUsed/>
    <w:qFormat/>
    <w:rsid w:val="00833E93"/>
    <w:pPr>
      <w:keepNext/>
      <w:keepLines/>
      <w:numPr>
        <w:ilvl w:val="6"/>
        <w:numId w:val="1"/>
      </w:numPr>
      <w:spacing w:line="317" w:lineRule="auto"/>
      <w:ind w:firstLineChars="0" w:firstLine="0"/>
      <w:outlineLvl w:val="6"/>
    </w:pPr>
    <w:rPr>
      <w:b/>
    </w:rPr>
  </w:style>
  <w:style w:type="paragraph" w:styleId="8">
    <w:name w:val="heading 8"/>
    <w:basedOn w:val="a0"/>
    <w:next w:val="a0"/>
    <w:semiHidden/>
    <w:unhideWhenUsed/>
    <w:qFormat/>
    <w:rsid w:val="00833E93"/>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0"/>
    <w:next w:val="a0"/>
    <w:semiHidden/>
    <w:unhideWhenUsed/>
    <w:qFormat/>
    <w:rsid w:val="00833E93"/>
    <w:pPr>
      <w:keepNext/>
      <w:keepLines/>
      <w:numPr>
        <w:ilvl w:val="8"/>
        <w:numId w:val="1"/>
      </w:numPr>
      <w:spacing w:line="317" w:lineRule="auto"/>
      <w:ind w:firstLineChars="0" w:firstLine="0"/>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uiPriority w:val="10"/>
    <w:qFormat/>
    <w:rsid w:val="00833E93"/>
    <w:pPr>
      <w:ind w:leftChars="200" w:left="640"/>
      <w:outlineLvl w:val="0"/>
    </w:pPr>
    <w:rPr>
      <w:rFonts w:ascii="Arial" w:eastAsia="仿宋_GB2312" w:hAnsi="Arial"/>
      <w:b/>
      <w:sz w:val="32"/>
    </w:rPr>
  </w:style>
  <w:style w:type="paragraph" w:styleId="a5">
    <w:name w:val="annotation text"/>
    <w:basedOn w:val="a0"/>
    <w:qFormat/>
    <w:rsid w:val="00833E93"/>
    <w:pPr>
      <w:jc w:val="left"/>
    </w:pPr>
  </w:style>
  <w:style w:type="paragraph" w:styleId="a6">
    <w:name w:val="Body Text Indent"/>
    <w:basedOn w:val="a0"/>
    <w:qFormat/>
    <w:rsid w:val="00833E93"/>
    <w:pPr>
      <w:spacing w:line="570" w:lineRule="exact"/>
      <w:ind w:firstLine="616"/>
    </w:pPr>
    <w:rPr>
      <w:spacing w:val="-6"/>
    </w:rPr>
  </w:style>
  <w:style w:type="paragraph" w:styleId="30">
    <w:name w:val="toc 3"/>
    <w:basedOn w:val="a0"/>
    <w:next w:val="a0"/>
    <w:qFormat/>
    <w:rsid w:val="00833E93"/>
    <w:pPr>
      <w:ind w:leftChars="400" w:left="840"/>
    </w:pPr>
  </w:style>
  <w:style w:type="paragraph" w:styleId="a7">
    <w:name w:val="footer"/>
    <w:basedOn w:val="a0"/>
    <w:qFormat/>
    <w:rsid w:val="00833E93"/>
    <w:pPr>
      <w:tabs>
        <w:tab w:val="center" w:pos="4153"/>
        <w:tab w:val="right" w:pos="8306"/>
      </w:tabs>
      <w:snapToGrid w:val="0"/>
      <w:jc w:val="left"/>
    </w:pPr>
    <w:rPr>
      <w:sz w:val="18"/>
    </w:rPr>
  </w:style>
  <w:style w:type="paragraph" w:styleId="a8">
    <w:name w:val="header"/>
    <w:basedOn w:val="a0"/>
    <w:qFormat/>
    <w:rsid w:val="00833E9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0"/>
    <w:next w:val="a0"/>
    <w:qFormat/>
    <w:rsid w:val="00833E93"/>
  </w:style>
  <w:style w:type="paragraph" w:styleId="20">
    <w:name w:val="toc 2"/>
    <w:basedOn w:val="a0"/>
    <w:next w:val="a0"/>
    <w:qFormat/>
    <w:rsid w:val="00833E93"/>
    <w:pPr>
      <w:ind w:leftChars="200" w:left="420"/>
    </w:pPr>
  </w:style>
  <w:style w:type="paragraph" w:styleId="a9">
    <w:name w:val="Normal (Web)"/>
    <w:basedOn w:val="a0"/>
    <w:qFormat/>
    <w:rsid w:val="00833E93"/>
    <w:pPr>
      <w:spacing w:beforeAutospacing="1" w:afterAutospacing="1"/>
      <w:jc w:val="left"/>
    </w:pPr>
    <w:rPr>
      <w:rFonts w:cs="Times New Roman"/>
      <w:kern w:val="0"/>
    </w:rPr>
  </w:style>
  <w:style w:type="table" w:styleId="aa">
    <w:name w:val="Table Grid"/>
    <w:basedOn w:val="a3"/>
    <w:uiPriority w:val="59"/>
    <w:qFormat/>
    <w:rsid w:val="00833E93"/>
    <w:rPr>
      <w:rFonts w:ascii="等线" w:eastAsia="等线" w:hAnsi="等线" w:cs="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2"/>
    <w:qFormat/>
    <w:rsid w:val="00833E93"/>
    <w:rPr>
      <w:b/>
    </w:rPr>
  </w:style>
  <w:style w:type="character" w:styleId="ac">
    <w:name w:val="Hyperlink"/>
    <w:basedOn w:val="a2"/>
    <w:qFormat/>
    <w:rsid w:val="00833E93"/>
    <w:rPr>
      <w:color w:val="0000FF"/>
      <w:u w:val="single"/>
    </w:rPr>
  </w:style>
  <w:style w:type="paragraph" w:customStyle="1" w:styleId="a">
    <w:name w:val="提纲样式"/>
    <w:basedOn w:val="a0"/>
    <w:qFormat/>
    <w:rsid w:val="00833E93"/>
    <w:pPr>
      <w:numPr>
        <w:numId w:val="2"/>
      </w:numPr>
      <w:ind w:firstLineChars="0"/>
    </w:pPr>
    <w:rPr>
      <w:rFonts w:eastAsia="宋体"/>
    </w:rPr>
  </w:style>
  <w:style w:type="paragraph" w:customStyle="1" w:styleId="ad">
    <w:name w:val="规划正文"/>
    <w:basedOn w:val="a0"/>
    <w:qFormat/>
    <w:rsid w:val="00833E93"/>
    <w:pPr>
      <w:spacing w:line="560" w:lineRule="exact"/>
    </w:pPr>
    <w:rPr>
      <w:rFonts w:eastAsia="仿宋" w:cs="仿宋" w:hint="eastAsia"/>
      <w:sz w:val="32"/>
      <w:szCs w:val="32"/>
    </w:rPr>
  </w:style>
  <w:style w:type="paragraph" w:customStyle="1" w:styleId="WPSOffice1">
    <w:name w:val="WPSOffice手动目录 1"/>
    <w:qFormat/>
    <w:rsid w:val="00833E93"/>
  </w:style>
  <w:style w:type="paragraph" w:customStyle="1" w:styleId="WPSOffice2">
    <w:name w:val="WPSOffice手动目录 2"/>
    <w:qFormat/>
    <w:rsid w:val="00833E93"/>
    <w:pPr>
      <w:ind w:leftChars="200" w:left="200"/>
    </w:pPr>
  </w:style>
  <w:style w:type="paragraph" w:customStyle="1" w:styleId="WPSOffice3">
    <w:name w:val="WPSOffice手动目录 3"/>
    <w:qFormat/>
    <w:rsid w:val="00833E93"/>
    <w:pPr>
      <w:ind w:leftChars="400" w:left="400"/>
    </w:pPr>
  </w:style>
  <w:style w:type="paragraph" w:styleId="ae">
    <w:name w:val="Balloon Text"/>
    <w:basedOn w:val="a0"/>
    <w:link w:val="Char"/>
    <w:rsid w:val="00E53BDD"/>
    <w:pPr>
      <w:spacing w:line="240" w:lineRule="auto"/>
    </w:pPr>
    <w:rPr>
      <w:sz w:val="18"/>
      <w:szCs w:val="18"/>
    </w:rPr>
  </w:style>
  <w:style w:type="character" w:customStyle="1" w:styleId="Char">
    <w:name w:val="批注框文本 Char"/>
    <w:basedOn w:val="a2"/>
    <w:link w:val="ae"/>
    <w:rsid w:val="00E53BDD"/>
    <w:rPr>
      <w:rFonts w:eastAsiaTheme="minorEastAsia"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13398</Words>
  <Characters>2547</Characters>
  <Application>Microsoft Office Word</Application>
  <DocSecurity>0</DocSecurity>
  <Lines>21</Lines>
  <Paragraphs>31</Paragraphs>
  <ScaleCrop>false</ScaleCrop>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追梦的小猪</dc:creator>
  <cp:lastModifiedBy>仲海涛</cp:lastModifiedBy>
  <cp:revision>9</cp:revision>
  <cp:lastPrinted>2022-07-04T07:43:00Z</cp:lastPrinted>
  <dcterms:created xsi:type="dcterms:W3CDTF">2022-07-03T14:11:00Z</dcterms:created>
  <dcterms:modified xsi:type="dcterms:W3CDTF">2022-11-28T08:26:00Z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1D0A60DE10594AF5931AEA7CD194D43F</vt:lpwstr>
  </property>
  <property fmtid="{D5CDD505-2E9C-101B-9397-08002B2CF9AE}" pid="4" name="commondata">
    <vt:lpwstr>eyJoZGlkIjoiZDVjNDEwMWQzNGRmMTI3NDYwZDE2NTI5YTU4NWQyOTIifQ==</vt:lpwstr>
  </property>
</Properties>
</file>