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rPr>
          <w:rFonts w:ascii="Times New Roman" w:eastAsia="黑体"/>
          <w:szCs w:val="32"/>
        </w:rPr>
      </w:pPr>
      <w:r>
        <w:rPr>
          <w:rFonts w:ascii="Times New Roman" w:eastAsia="黑体"/>
          <w:szCs w:val="32"/>
        </w:rPr>
        <w:t>附件</w:t>
      </w:r>
    </w:p>
    <w:p>
      <w:pPr>
        <w:spacing w:line="600" w:lineRule="exact"/>
        <w:jc w:val="center"/>
        <w:rPr>
          <w:rFonts w:ascii="Times New Roman" w:eastAsia="方正小标宋_GBK"/>
          <w:sz w:val="36"/>
          <w:szCs w:val="36"/>
        </w:rPr>
      </w:pPr>
    </w:p>
    <w:p>
      <w:pPr>
        <w:spacing w:line="600" w:lineRule="exact"/>
        <w:ind w:firstLine="0"/>
        <w:jc w:val="center"/>
        <w:rPr>
          <w:rFonts w:ascii="Times New Roman" w:eastAsia="方正小标宋简体"/>
          <w:sz w:val="36"/>
          <w:szCs w:val="36"/>
        </w:rPr>
      </w:pPr>
      <w:r>
        <w:rPr>
          <w:rFonts w:ascii="Times New Roman" w:eastAsia="方正小标宋简体"/>
          <w:sz w:val="36"/>
          <w:szCs w:val="36"/>
        </w:rPr>
        <w:t>2018～2019年度太仓市自然科学优秀学术论文目录</w:t>
      </w:r>
    </w:p>
    <w:p>
      <w:pPr>
        <w:jc w:val="center"/>
        <w:rPr>
          <w:rFonts w:ascii="Times New Roman" w:eastAsia="方正大标宋简体"/>
          <w:bCs/>
          <w:sz w:val="40"/>
          <w:szCs w:val="40"/>
        </w:rPr>
      </w:pPr>
    </w:p>
    <w:p>
      <w:pPr>
        <w:rPr>
          <w:rFonts w:ascii="Times New Roman" w:eastAsia="黑体"/>
          <w:bCs/>
          <w:szCs w:val="32"/>
        </w:rPr>
      </w:pPr>
      <w:r>
        <w:rPr>
          <w:rFonts w:ascii="Times New Roman" w:eastAsia="黑体"/>
          <w:bCs/>
          <w:szCs w:val="32"/>
        </w:rPr>
        <w:t>一等奖（10篇）</w:t>
      </w:r>
    </w:p>
    <w:tbl>
      <w:tblPr>
        <w:tblStyle w:val="2"/>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4164"/>
        <w:gridCol w:w="1421"/>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902" w:type="dxa"/>
            <w:noWrap w:val="0"/>
            <w:vAlign w:val="center"/>
          </w:tcPr>
          <w:p>
            <w:pPr>
              <w:spacing w:line="400" w:lineRule="exact"/>
              <w:ind w:firstLine="0"/>
              <w:jc w:val="center"/>
              <w:rPr>
                <w:rFonts w:ascii="Times New Roman" w:eastAsia="黑体"/>
                <w:bCs/>
                <w:sz w:val="21"/>
                <w:szCs w:val="21"/>
              </w:rPr>
            </w:pPr>
            <w:r>
              <w:rPr>
                <w:rFonts w:ascii="Times New Roman" w:hAnsi="黑体" w:eastAsia="黑体"/>
                <w:bCs/>
                <w:sz w:val="21"/>
                <w:szCs w:val="21"/>
              </w:rPr>
              <w:t>序号</w:t>
            </w:r>
          </w:p>
        </w:tc>
        <w:tc>
          <w:tcPr>
            <w:tcW w:w="4164" w:type="dxa"/>
            <w:noWrap w:val="0"/>
            <w:vAlign w:val="center"/>
          </w:tcPr>
          <w:p>
            <w:pPr>
              <w:spacing w:line="400" w:lineRule="exact"/>
              <w:jc w:val="center"/>
              <w:rPr>
                <w:rFonts w:ascii="Times New Roman" w:eastAsia="黑体"/>
                <w:bCs/>
                <w:sz w:val="21"/>
                <w:szCs w:val="21"/>
              </w:rPr>
            </w:pPr>
            <w:r>
              <w:rPr>
                <w:rFonts w:ascii="Times New Roman" w:hAnsi="黑体" w:eastAsia="黑体"/>
                <w:bCs/>
                <w:sz w:val="21"/>
                <w:szCs w:val="21"/>
              </w:rPr>
              <w:t>论文题目</w:t>
            </w:r>
          </w:p>
        </w:tc>
        <w:tc>
          <w:tcPr>
            <w:tcW w:w="1421" w:type="dxa"/>
            <w:noWrap w:val="0"/>
            <w:vAlign w:val="center"/>
          </w:tcPr>
          <w:p>
            <w:pPr>
              <w:spacing w:line="400" w:lineRule="exact"/>
              <w:ind w:firstLine="0"/>
              <w:jc w:val="center"/>
              <w:rPr>
                <w:rFonts w:ascii="Times New Roman" w:eastAsia="黑体"/>
                <w:bCs/>
                <w:sz w:val="21"/>
                <w:szCs w:val="21"/>
              </w:rPr>
            </w:pPr>
            <w:r>
              <w:rPr>
                <w:rFonts w:ascii="Times New Roman" w:hAnsi="黑体" w:eastAsia="黑体"/>
                <w:bCs/>
                <w:sz w:val="21"/>
                <w:szCs w:val="21"/>
              </w:rPr>
              <w:t>作者姓名</w:t>
            </w:r>
          </w:p>
        </w:tc>
        <w:tc>
          <w:tcPr>
            <w:tcW w:w="2617" w:type="dxa"/>
            <w:noWrap w:val="0"/>
            <w:vAlign w:val="center"/>
          </w:tcPr>
          <w:p>
            <w:pPr>
              <w:spacing w:line="400" w:lineRule="exact"/>
              <w:ind w:left="-63" w:leftChars="-61" w:hanging="132" w:hangingChars="63"/>
              <w:jc w:val="center"/>
              <w:rPr>
                <w:rFonts w:ascii="Times New Roman" w:eastAsia="黑体"/>
                <w:bCs/>
                <w:sz w:val="21"/>
                <w:szCs w:val="21"/>
              </w:rPr>
            </w:pPr>
            <w:r>
              <w:rPr>
                <w:rFonts w:ascii="Times New Roman" w:hAnsi="黑体" w:eastAsia="黑体"/>
                <w:bCs/>
                <w:sz w:val="21"/>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9" w:hRule="atLeast"/>
          <w:jc w:val="center"/>
        </w:trPr>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w:t>
            </w:r>
          </w:p>
        </w:tc>
        <w:tc>
          <w:tcPr>
            <w:tcW w:w="4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Activation of TGR5 with INT-777 attenuates oxidative stress and neuronal  apoptosis via cAMP/PKCε/ALDH2 pathway after subarachnoid hemorrhage in rats.( INT-777激活TGR5通过cAMP/PKCε/ALDH2信号通路改善大鼠蛛网膜下腔出血后氧化应激及神经元凋亡)</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左  刚</w:t>
            </w:r>
          </w:p>
        </w:tc>
        <w:tc>
          <w:tcPr>
            <w:tcW w:w="26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jc w:val="center"/>
        </w:trPr>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w:t>
            </w:r>
          </w:p>
        </w:tc>
        <w:tc>
          <w:tcPr>
            <w:tcW w:w="4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Downregulation of HuR Inhibits the Progression of Esophageal Cancer through Interleukin-18(下调HuR抑制白细胞介素-18表达影响食管癌的进展)</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徐小慧</w:t>
            </w:r>
          </w:p>
        </w:tc>
        <w:tc>
          <w:tcPr>
            <w:tcW w:w="26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jc w:val="center"/>
        </w:trPr>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3</w:t>
            </w:r>
          </w:p>
        </w:tc>
        <w:tc>
          <w:tcPr>
            <w:tcW w:w="4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Could larger diameter of 4th generation ceramic bearing increase the rate of squeaking after THA? : A retrospective study.( 第四代陶瓷摩擦界面是否会增加全髋关节置换术后髋关节异响的发生率？一项回顾性研究)</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骆  园</w:t>
            </w:r>
          </w:p>
        </w:tc>
        <w:tc>
          <w:tcPr>
            <w:tcW w:w="26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4</w:t>
            </w:r>
          </w:p>
        </w:tc>
        <w:tc>
          <w:tcPr>
            <w:tcW w:w="4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MicroRNA-9 Inhibits Gastric Cancer Cell Proliferation and Migration by Targeting neuropilin-1(MiR-9通过靶向神经纤溶酶-1抑制胃癌细胞增殖和迁移)</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杭  程</w:t>
            </w:r>
          </w:p>
        </w:tc>
        <w:tc>
          <w:tcPr>
            <w:tcW w:w="26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jc w:val="center"/>
        </w:trPr>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5</w:t>
            </w:r>
          </w:p>
        </w:tc>
        <w:tc>
          <w:tcPr>
            <w:tcW w:w="4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Astragaloside IV ameliorates high glucose</w:t>
            </w:r>
            <w:r>
              <w:rPr>
                <w:rFonts w:ascii="Times New Roman" w:eastAsia="仿宋_GB2312"/>
                <w:sz w:val="21"/>
                <w:szCs w:val="21"/>
              </w:rPr>
              <w:noBreakHyphen/>
            </w:r>
            <w:r>
              <w:rPr>
                <w:rFonts w:ascii="Times New Roman" w:eastAsia="仿宋_GB2312"/>
                <w:sz w:val="21"/>
                <w:szCs w:val="21"/>
              </w:rPr>
              <w:t>induced HK</w:t>
            </w:r>
            <w:r>
              <w:rPr>
                <w:rFonts w:ascii="Times New Roman" w:eastAsia="仿宋_GB2312"/>
                <w:sz w:val="21"/>
                <w:szCs w:val="21"/>
              </w:rPr>
              <w:noBreakHyphen/>
            </w:r>
            <w:r>
              <w:rPr>
                <w:rFonts w:ascii="Times New Roman" w:eastAsia="仿宋_GB2312"/>
                <w:sz w:val="21"/>
                <w:szCs w:val="21"/>
              </w:rPr>
              <w:t>2 cell apoptosis and oxidative stress by regulating the Nrf2/ARE signaling pathway(黄芪甲苷通过Nrf2/ARE信号传导通路改善高糖诱导下HK-2细胞凋亡及氧化应激反应)</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王  静</w:t>
            </w:r>
          </w:p>
        </w:tc>
        <w:tc>
          <w:tcPr>
            <w:tcW w:w="26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7" w:hRule="atLeast"/>
          <w:jc w:val="center"/>
        </w:trPr>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6</w:t>
            </w:r>
          </w:p>
        </w:tc>
        <w:tc>
          <w:tcPr>
            <w:tcW w:w="4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Novel Three-Dimensional SiC/Melamine-Derived Carbon Foam-Reinforced SiO2 Aerogel Composite with Low Dielectric Loss and High Impedance Matching Ratio(低介电损耗和高阻抗匹配的新型三维三聚氰胺基碳/碳化硅泡沫增强二氧化硅气凝胶复合材料)</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叶信立</w:t>
            </w:r>
          </w:p>
        </w:tc>
        <w:tc>
          <w:tcPr>
            <w:tcW w:w="26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苏州宏久航空防热材料科技有限公司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7</w:t>
            </w:r>
          </w:p>
        </w:tc>
        <w:tc>
          <w:tcPr>
            <w:tcW w:w="4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长三角一体化战略下太仓大学科技园的创新实践与发展思考</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王永健</w:t>
            </w:r>
          </w:p>
          <w:p>
            <w:pPr>
              <w:spacing w:line="400" w:lineRule="exact"/>
              <w:ind w:firstLine="0"/>
              <w:jc w:val="center"/>
              <w:rPr>
                <w:rFonts w:ascii="Times New Roman" w:eastAsia="仿宋_GB2312"/>
                <w:sz w:val="21"/>
                <w:szCs w:val="21"/>
              </w:rPr>
            </w:pPr>
            <w:r>
              <w:rPr>
                <w:rFonts w:ascii="Times New Roman" w:eastAsia="仿宋_GB2312"/>
                <w:sz w:val="21"/>
                <w:szCs w:val="21"/>
              </w:rPr>
              <w:t>王玲琳</w:t>
            </w:r>
          </w:p>
        </w:tc>
        <w:tc>
          <w:tcPr>
            <w:tcW w:w="26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太仓高新区科技局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8</w:t>
            </w:r>
          </w:p>
        </w:tc>
        <w:tc>
          <w:tcPr>
            <w:tcW w:w="4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太仓市水稻和小麦气候生产潜力估算</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沈文忠</w:t>
            </w:r>
          </w:p>
          <w:p>
            <w:pPr>
              <w:spacing w:line="400" w:lineRule="exact"/>
              <w:ind w:firstLine="0"/>
              <w:jc w:val="center"/>
              <w:rPr>
                <w:rFonts w:ascii="Times New Roman" w:eastAsia="仿宋_GB2312"/>
                <w:sz w:val="21"/>
                <w:szCs w:val="21"/>
              </w:rPr>
            </w:pPr>
            <w:r>
              <w:rPr>
                <w:rFonts w:ascii="Times New Roman" w:eastAsia="仿宋_GB2312"/>
                <w:sz w:val="21"/>
                <w:szCs w:val="21"/>
              </w:rPr>
              <w:t>张绪美</w:t>
            </w:r>
          </w:p>
        </w:tc>
        <w:tc>
          <w:tcPr>
            <w:tcW w:w="26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太仓市农业技术推广中心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9</w:t>
            </w:r>
          </w:p>
        </w:tc>
        <w:tc>
          <w:tcPr>
            <w:tcW w:w="4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破解企业深度参与高职教育之困：借鉴德国的经验</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徐金河</w:t>
            </w:r>
          </w:p>
          <w:p>
            <w:pPr>
              <w:spacing w:line="400" w:lineRule="exact"/>
              <w:ind w:firstLine="0"/>
              <w:jc w:val="center"/>
              <w:rPr>
                <w:rFonts w:ascii="Times New Roman" w:eastAsia="仿宋_GB2312"/>
                <w:sz w:val="21"/>
                <w:szCs w:val="21"/>
              </w:rPr>
            </w:pPr>
            <w:r>
              <w:rPr>
                <w:rFonts w:ascii="Times New Roman" w:eastAsia="仿宋_GB2312"/>
                <w:sz w:val="21"/>
                <w:szCs w:val="21"/>
              </w:rPr>
              <w:t>陈智强</w:t>
            </w:r>
          </w:p>
        </w:tc>
        <w:tc>
          <w:tcPr>
            <w:tcW w:w="26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10</w:t>
            </w:r>
          </w:p>
        </w:tc>
        <w:tc>
          <w:tcPr>
            <w:tcW w:w="41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从知识学习走向意义建构</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邵  帅</w:t>
            </w:r>
          </w:p>
        </w:tc>
        <w:tc>
          <w:tcPr>
            <w:tcW w:w="26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太仓市明德初级中学</w:t>
            </w:r>
          </w:p>
        </w:tc>
      </w:tr>
    </w:tbl>
    <w:p>
      <w:pPr>
        <w:rPr>
          <w:rFonts w:ascii="Times New Roman" w:eastAsia="方正大标宋简体"/>
          <w:bCs/>
          <w:sz w:val="40"/>
          <w:szCs w:val="40"/>
        </w:rPr>
      </w:pPr>
    </w:p>
    <w:p>
      <w:pPr>
        <w:rPr>
          <w:rFonts w:ascii="Times New Roman" w:eastAsia="方正大标宋简体"/>
          <w:bCs/>
          <w:sz w:val="40"/>
          <w:szCs w:val="40"/>
        </w:rPr>
      </w:pPr>
      <w:r>
        <w:rPr>
          <w:rFonts w:ascii="Times New Roman" w:eastAsia="方正大标宋简体"/>
          <w:bCs/>
          <w:sz w:val="40"/>
          <w:szCs w:val="40"/>
        </w:rPr>
        <w:br w:type="page"/>
      </w:r>
    </w:p>
    <w:p>
      <w:pPr>
        <w:rPr>
          <w:rFonts w:ascii="Times New Roman" w:eastAsia="黑体"/>
          <w:bCs/>
          <w:szCs w:val="32"/>
        </w:rPr>
      </w:pPr>
      <w:r>
        <w:rPr>
          <w:rFonts w:ascii="Times New Roman" w:eastAsia="黑体"/>
          <w:bCs/>
          <w:szCs w:val="32"/>
        </w:rPr>
        <w:t>二等奖（30篇）</w:t>
      </w:r>
    </w:p>
    <w:tbl>
      <w:tblPr>
        <w:tblStyle w:val="2"/>
        <w:tblW w:w="9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4500"/>
        <w:gridCol w:w="1305"/>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黑体"/>
                <w:bCs/>
                <w:color w:val="000000"/>
                <w:sz w:val="21"/>
                <w:szCs w:val="21"/>
              </w:rPr>
            </w:pPr>
            <w:r>
              <w:rPr>
                <w:rFonts w:ascii="Times New Roman" w:hAnsi="黑体" w:eastAsia="黑体"/>
                <w:bCs/>
                <w:color w:val="000000"/>
                <w:sz w:val="21"/>
                <w:szCs w:val="21"/>
              </w:rPr>
              <w:t>序号</w:t>
            </w:r>
          </w:p>
        </w:tc>
        <w:tc>
          <w:tcPr>
            <w:tcW w:w="4500" w:type="dxa"/>
            <w:noWrap w:val="0"/>
            <w:vAlign w:val="center"/>
          </w:tcPr>
          <w:p>
            <w:pPr>
              <w:spacing w:line="400" w:lineRule="exact"/>
              <w:jc w:val="center"/>
              <w:rPr>
                <w:rFonts w:ascii="Times New Roman" w:eastAsia="黑体"/>
                <w:bCs/>
                <w:color w:val="000000"/>
                <w:sz w:val="21"/>
                <w:szCs w:val="21"/>
              </w:rPr>
            </w:pPr>
            <w:r>
              <w:rPr>
                <w:rFonts w:ascii="Times New Roman" w:hAnsi="黑体" w:eastAsia="黑体"/>
                <w:bCs/>
                <w:color w:val="000000"/>
                <w:sz w:val="21"/>
                <w:szCs w:val="21"/>
              </w:rPr>
              <w:t>论文题目</w:t>
            </w:r>
          </w:p>
        </w:tc>
        <w:tc>
          <w:tcPr>
            <w:tcW w:w="1305" w:type="dxa"/>
            <w:noWrap w:val="0"/>
            <w:vAlign w:val="center"/>
          </w:tcPr>
          <w:p>
            <w:pPr>
              <w:spacing w:line="400" w:lineRule="exact"/>
              <w:ind w:firstLine="0"/>
              <w:jc w:val="center"/>
              <w:rPr>
                <w:rFonts w:ascii="Times New Roman" w:eastAsia="黑体"/>
                <w:bCs/>
                <w:color w:val="000000"/>
                <w:sz w:val="21"/>
                <w:szCs w:val="21"/>
              </w:rPr>
            </w:pPr>
            <w:r>
              <w:rPr>
                <w:rFonts w:ascii="Times New Roman" w:hAnsi="黑体" w:eastAsia="黑体"/>
                <w:bCs/>
                <w:color w:val="000000"/>
                <w:sz w:val="21"/>
                <w:szCs w:val="21"/>
              </w:rPr>
              <w:t>作者姓名</w:t>
            </w:r>
          </w:p>
        </w:tc>
        <w:tc>
          <w:tcPr>
            <w:tcW w:w="2585" w:type="dxa"/>
            <w:noWrap w:val="0"/>
            <w:vAlign w:val="center"/>
          </w:tcPr>
          <w:p>
            <w:pPr>
              <w:spacing w:line="400" w:lineRule="exact"/>
              <w:ind w:firstLine="0"/>
              <w:jc w:val="center"/>
              <w:rPr>
                <w:rFonts w:ascii="Times New Roman" w:eastAsia="黑体"/>
                <w:bCs/>
                <w:color w:val="000000"/>
                <w:sz w:val="21"/>
                <w:szCs w:val="21"/>
              </w:rPr>
            </w:pPr>
            <w:r>
              <w:rPr>
                <w:rFonts w:ascii="Times New Roman" w:hAnsi="黑体" w:eastAsia="黑体"/>
                <w:bCs/>
                <w:color w:val="000000"/>
                <w:sz w:val="21"/>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The feasibility of 1-stop examination of coronary CT angiography and abdominal enhanced CT(一站式CT扫描在冠状动脉联合腹部增强扫描中的优势)</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方  伟</w:t>
            </w:r>
          </w:p>
          <w:p>
            <w:pPr>
              <w:spacing w:line="400" w:lineRule="exact"/>
              <w:ind w:firstLine="0"/>
              <w:jc w:val="center"/>
              <w:rPr>
                <w:rFonts w:ascii="Times New Roman" w:eastAsia="仿宋_GB2312"/>
                <w:sz w:val="21"/>
                <w:szCs w:val="21"/>
              </w:rPr>
            </w:pPr>
            <w:r>
              <w:rPr>
                <w:rFonts w:ascii="Times New Roman" w:eastAsia="仿宋_GB2312"/>
                <w:sz w:val="21"/>
                <w:szCs w:val="21"/>
              </w:rPr>
              <w:t>顾文豪</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Clinical and biomechanical researches of polyetheretherketone (PEEK) rods for semi-rigid lumbar fusion: a systematic review(聚醚醚酮（PEEK）棒在半坚强脊柱融合手术中的临床和生物力学研究系统评价)</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李  潺</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3</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基于SPD模式下低值医用耗材信息管理系统的设计与开发</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倪伟中</w:t>
            </w:r>
          </w:p>
          <w:p>
            <w:pPr>
              <w:spacing w:line="400" w:lineRule="exact"/>
              <w:ind w:firstLine="0"/>
              <w:jc w:val="center"/>
              <w:rPr>
                <w:rFonts w:ascii="Times New Roman" w:eastAsia="仿宋_GB2312"/>
                <w:sz w:val="21"/>
                <w:szCs w:val="21"/>
              </w:rPr>
            </w:pPr>
            <w:r>
              <w:rPr>
                <w:rFonts w:ascii="Times New Roman" w:eastAsia="仿宋_GB2312"/>
                <w:sz w:val="21"/>
                <w:szCs w:val="21"/>
              </w:rPr>
              <w:t>张  瑜</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4</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肩峰下撞击综合征的MR定量诊断指标探讨</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陈菁华</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5</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同型半胱氨酸和尿酸与寻常型银屑病中医辨证分型的研究</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陆燕洪</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6</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IL-33在非小细胞肺癌中的意义</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吕  红</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7</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卵巢癌皮肤转移1例</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冯健清</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8</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江苏省太仓市健康自我管理小组效果评估及其影响因素分析</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姜纪武</w:t>
            </w:r>
          </w:p>
          <w:p>
            <w:pPr>
              <w:spacing w:line="400" w:lineRule="exact"/>
              <w:ind w:firstLine="0"/>
              <w:jc w:val="center"/>
              <w:rPr>
                <w:rFonts w:ascii="Times New Roman" w:eastAsia="仿宋_GB2312"/>
                <w:sz w:val="21"/>
                <w:szCs w:val="21"/>
              </w:rPr>
            </w:pPr>
            <w:r>
              <w:rPr>
                <w:rFonts w:ascii="Times New Roman" w:eastAsia="仿宋_GB2312"/>
                <w:sz w:val="21"/>
                <w:szCs w:val="21"/>
              </w:rPr>
              <w:t>刘秋燕</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太仓市卫生培训与健康促进中心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9</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Visit-to-visit blood pressure variability is associated with gestational hypertension and pre-eclampsia（访视血压的变异性与妊娠期高血压和子痫前期的相关性研究）</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曹瑛瑛</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太仓市妇幼保健计划生育服务中心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10</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多学科联合模式对社区糖尿病患者心身康复管理效果研究</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黄华磊</w:t>
            </w:r>
          </w:p>
          <w:p>
            <w:pPr>
              <w:spacing w:line="400" w:lineRule="exact"/>
              <w:ind w:firstLine="0"/>
              <w:jc w:val="center"/>
              <w:rPr>
                <w:rFonts w:ascii="Times New Roman" w:eastAsia="仿宋_GB2312"/>
                <w:sz w:val="21"/>
                <w:szCs w:val="21"/>
              </w:rPr>
            </w:pPr>
            <w:r>
              <w:rPr>
                <w:rFonts w:ascii="Times New Roman" w:eastAsia="仿宋_GB2312"/>
                <w:sz w:val="21"/>
                <w:szCs w:val="21"/>
              </w:rPr>
              <w:t>李  莉</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太仓市高新区社区卫生服务中心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11</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把握时代机遇 推进创新发展 谱写太仓档案事业新篇章</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陆  坚</w:t>
            </w:r>
          </w:p>
          <w:p>
            <w:pPr>
              <w:spacing w:line="400" w:lineRule="exact"/>
              <w:ind w:firstLine="0"/>
              <w:jc w:val="center"/>
              <w:rPr>
                <w:rFonts w:ascii="Times New Roman" w:eastAsia="仿宋_GB2312"/>
                <w:sz w:val="21"/>
                <w:szCs w:val="21"/>
              </w:rPr>
            </w:pPr>
            <w:r>
              <w:rPr>
                <w:rFonts w:ascii="Times New Roman" w:eastAsia="仿宋_GB2312"/>
                <w:sz w:val="21"/>
                <w:szCs w:val="21"/>
              </w:rPr>
              <w:t>芮  振</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12</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Modelling seedling development using thermal effectiveness and photosynthetically active radiation（关于相对热效应与光合有效辐射的作物生长模型）</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周天美</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太仓市农业技术推广中心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13</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不同施肥方式对设施土壤次生盐渍化及蕹菜生产的影响</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张绪美</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太仓市农业技术推广中心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14</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2019年太仓稻瘟病大发生原因分析及防治方法研究</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陈  璐</w:t>
            </w:r>
          </w:p>
          <w:p>
            <w:pPr>
              <w:spacing w:line="400" w:lineRule="exact"/>
              <w:ind w:firstLine="0"/>
              <w:jc w:val="center"/>
              <w:rPr>
                <w:rFonts w:ascii="Times New Roman" w:eastAsia="仿宋_GB2312"/>
                <w:sz w:val="21"/>
                <w:szCs w:val="21"/>
              </w:rPr>
            </w:pPr>
            <w:r>
              <w:rPr>
                <w:rFonts w:ascii="Times New Roman" w:eastAsia="仿宋_GB2312"/>
                <w:sz w:val="21"/>
                <w:szCs w:val="21"/>
              </w:rPr>
              <w:t>李  磊</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太仓市农业技术推广中心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15</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太仓市产业布局研究</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杨  杨</w:t>
            </w:r>
          </w:p>
          <w:p>
            <w:pPr>
              <w:spacing w:line="400" w:lineRule="exact"/>
              <w:ind w:firstLine="0"/>
              <w:jc w:val="center"/>
              <w:rPr>
                <w:rFonts w:ascii="Times New Roman" w:eastAsia="仿宋_GB2312"/>
                <w:sz w:val="21"/>
                <w:szCs w:val="21"/>
              </w:rPr>
            </w:pPr>
            <w:r>
              <w:rPr>
                <w:rFonts w:ascii="Times New Roman" w:eastAsia="仿宋_GB2312"/>
                <w:sz w:val="21"/>
                <w:szCs w:val="21"/>
              </w:rPr>
              <w:t>钱初颖</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太仓市科技创新人才交流协会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16</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苏南中小城市高职院校现代学徒制探索：困境、优势与策略</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顾月琴</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17</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浅谈智能制造对高职电气自动化专业人才培养模式的影响与对策</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李芳丽</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18</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基于校企合作的高职跨境电商英语课程教学探讨</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林  渊</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19</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基于跨企业培训中心的现代学徒制的实践</w:t>
            </w:r>
            <w:r>
              <w:rPr>
                <w:rFonts w:ascii="Times New Roman" w:eastAsia="仿宋_GB2312"/>
                <w:sz w:val="21"/>
                <w:szCs w:val="21"/>
                <w:cs/>
              </w:rPr>
              <w:t>——</w:t>
            </w:r>
            <w:r>
              <w:rPr>
                <w:rFonts w:ascii="Times New Roman" w:eastAsia="仿宋_GB2312"/>
                <w:sz w:val="21"/>
                <w:szCs w:val="21"/>
              </w:rPr>
              <w:t>以模具设计与制造专业为例</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车  娟</w:t>
            </w:r>
          </w:p>
          <w:p>
            <w:pPr>
              <w:spacing w:line="400" w:lineRule="exact"/>
              <w:ind w:firstLine="0"/>
              <w:jc w:val="center"/>
              <w:rPr>
                <w:rFonts w:ascii="Times New Roman" w:eastAsia="仿宋_GB2312"/>
                <w:sz w:val="21"/>
                <w:szCs w:val="21"/>
              </w:rPr>
            </w:pPr>
            <w:r>
              <w:rPr>
                <w:rFonts w:ascii="Times New Roman" w:eastAsia="仿宋_GB2312"/>
                <w:sz w:val="21"/>
                <w:szCs w:val="21"/>
              </w:rPr>
              <w:t>周晓刚</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20</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Cucurbit[8]uril-assisted peptide assembly for feasible electrochemical assay of histone acetyltransferase activity(基于葫芦[8]尿素辅助的多肽自组装用于电化学测定乙酰转移化酶的活性)</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苗向阳</w:t>
            </w:r>
          </w:p>
          <w:p>
            <w:pPr>
              <w:spacing w:line="400" w:lineRule="exact"/>
              <w:ind w:firstLine="0"/>
              <w:jc w:val="center"/>
              <w:rPr>
                <w:rFonts w:ascii="Times New Roman" w:eastAsia="仿宋_GB2312"/>
                <w:sz w:val="21"/>
                <w:szCs w:val="21"/>
              </w:rPr>
            </w:pPr>
            <w:r>
              <w:rPr>
                <w:rFonts w:ascii="Times New Roman" w:eastAsia="仿宋_GB2312"/>
                <w:sz w:val="21"/>
                <w:szCs w:val="21"/>
              </w:rPr>
              <w:t>王  杨</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21</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Horseradish peroxidase immobilized on the magnetic composite microspheres for high catalytic ability and operational stability(多臂磁性复合微球Fe3O4@PAA-6-arm-PEG-NH2固定化辣根过氧化物酶的制备及其应用)</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解雪乔</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22</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太仓建设长三角商贸物流中心的策略研究</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王海燕</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23</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基于太仓模式的“双元E+”内涵及构建</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殷  利</w:t>
            </w:r>
          </w:p>
          <w:p>
            <w:pPr>
              <w:spacing w:line="400" w:lineRule="exact"/>
              <w:ind w:firstLine="0"/>
              <w:jc w:val="center"/>
              <w:rPr>
                <w:rFonts w:ascii="Times New Roman" w:eastAsia="仿宋_GB2312"/>
                <w:sz w:val="21"/>
                <w:szCs w:val="21"/>
              </w:rPr>
            </w:pPr>
            <w:r>
              <w:rPr>
                <w:rFonts w:ascii="Times New Roman" w:eastAsia="仿宋_GB2312"/>
                <w:sz w:val="21"/>
                <w:szCs w:val="21"/>
              </w:rPr>
              <w:t>周新源</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江苏省太仓中等专业学校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24</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现代学徒制中校企的职责、合作与分工</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黄振贤</w:t>
            </w:r>
          </w:p>
          <w:p>
            <w:pPr>
              <w:spacing w:line="400" w:lineRule="exact"/>
              <w:ind w:firstLine="0"/>
              <w:jc w:val="center"/>
              <w:rPr>
                <w:rFonts w:ascii="Times New Roman" w:eastAsia="仿宋_GB2312"/>
                <w:sz w:val="21"/>
                <w:szCs w:val="21"/>
              </w:rPr>
            </w:pPr>
            <w:r>
              <w:rPr>
                <w:rFonts w:ascii="Times New Roman" w:eastAsia="仿宋_GB2312"/>
                <w:sz w:val="21"/>
                <w:szCs w:val="21"/>
              </w:rPr>
              <w:t>周新源</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江苏省太仓中等专业学校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25</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现代学徒制下中职校本课程建设探究</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陈贵方</w:t>
            </w:r>
          </w:p>
          <w:p>
            <w:pPr>
              <w:spacing w:line="400" w:lineRule="exact"/>
              <w:ind w:firstLine="0"/>
              <w:jc w:val="center"/>
              <w:rPr>
                <w:rFonts w:ascii="Times New Roman" w:eastAsia="仿宋_GB2312"/>
                <w:sz w:val="21"/>
                <w:szCs w:val="21"/>
              </w:rPr>
            </w:pPr>
            <w:r>
              <w:rPr>
                <w:rFonts w:ascii="Times New Roman" w:eastAsia="仿宋_GB2312"/>
                <w:sz w:val="21"/>
                <w:szCs w:val="21"/>
              </w:rPr>
              <w:t>候宏强</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江苏省太仓中等专业学校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26</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STEM项目课程化的探索与思考</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叶  耀</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27</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地理学科视角下的整体性情境化教学的情境创设</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郑亮生</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太仓市沙溪实验中学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28</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境脉”引领下的化学课堂——以“金属的化学性质”为例</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周盼盼</w:t>
            </w:r>
          </w:p>
          <w:p>
            <w:pPr>
              <w:spacing w:line="400" w:lineRule="exact"/>
              <w:ind w:firstLine="0"/>
              <w:jc w:val="center"/>
              <w:rPr>
                <w:rFonts w:ascii="Times New Roman" w:eastAsia="仿宋_GB2312"/>
                <w:sz w:val="21"/>
                <w:szCs w:val="21"/>
              </w:rPr>
            </w:pPr>
            <w:r>
              <w:rPr>
                <w:rFonts w:ascii="Times New Roman" w:eastAsia="仿宋_GB2312"/>
                <w:sz w:val="21"/>
                <w:szCs w:val="21"/>
              </w:rPr>
              <w:t>孙美荣</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太仓市沙溪第一中学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29</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小学研学旅行课程目标建构的再思考</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钱  澜</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105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30</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聚焦“4C”的主题式整合教学实践研究——基于科幻主题活动系统建构的探索</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吴敏敏</w:t>
            </w:r>
          </w:p>
        </w:tc>
        <w:tc>
          <w:tcPr>
            <w:tcW w:w="258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太仓市科教新城实验小学</w:t>
            </w:r>
          </w:p>
        </w:tc>
      </w:tr>
    </w:tbl>
    <w:p>
      <w:pPr>
        <w:rPr>
          <w:rFonts w:ascii="Times New Roman" w:eastAsia="方正大标宋简体"/>
          <w:bCs/>
          <w:sz w:val="40"/>
          <w:szCs w:val="40"/>
        </w:rPr>
      </w:pPr>
    </w:p>
    <w:p>
      <w:pPr>
        <w:rPr>
          <w:rFonts w:ascii="Times New Roman" w:eastAsia="方正大标宋简体"/>
          <w:bCs/>
          <w:sz w:val="40"/>
          <w:szCs w:val="40"/>
        </w:rPr>
      </w:pPr>
      <w:r>
        <w:rPr>
          <w:rFonts w:ascii="Times New Roman" w:eastAsia="方正大标宋简体"/>
          <w:bCs/>
          <w:sz w:val="40"/>
          <w:szCs w:val="40"/>
        </w:rPr>
        <w:br w:type="page"/>
      </w:r>
    </w:p>
    <w:p>
      <w:pPr>
        <w:rPr>
          <w:rFonts w:ascii="Times New Roman" w:eastAsia="黑体"/>
          <w:bCs/>
          <w:szCs w:val="32"/>
        </w:rPr>
      </w:pPr>
      <w:r>
        <w:rPr>
          <w:rFonts w:ascii="Times New Roman" w:eastAsia="黑体"/>
          <w:bCs/>
          <w:szCs w:val="32"/>
        </w:rPr>
        <w:t>三等奖（51篇）</w:t>
      </w:r>
    </w:p>
    <w:tbl>
      <w:tblPr>
        <w:tblStyle w:val="2"/>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4500"/>
        <w:gridCol w:w="1305"/>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黑体"/>
                <w:bCs/>
                <w:color w:val="000000"/>
                <w:sz w:val="21"/>
                <w:szCs w:val="21"/>
              </w:rPr>
            </w:pPr>
            <w:r>
              <w:rPr>
                <w:rFonts w:ascii="Times New Roman" w:eastAsia="黑体"/>
                <w:bCs/>
                <w:color w:val="000000"/>
                <w:sz w:val="21"/>
                <w:szCs w:val="21"/>
              </w:rPr>
              <w:t>序号</w:t>
            </w:r>
          </w:p>
        </w:tc>
        <w:tc>
          <w:tcPr>
            <w:tcW w:w="4500" w:type="dxa"/>
            <w:noWrap w:val="0"/>
            <w:vAlign w:val="center"/>
          </w:tcPr>
          <w:p>
            <w:pPr>
              <w:spacing w:line="400" w:lineRule="exact"/>
              <w:jc w:val="center"/>
              <w:rPr>
                <w:rFonts w:ascii="Times New Roman" w:eastAsia="黑体"/>
                <w:bCs/>
                <w:color w:val="000000"/>
                <w:sz w:val="21"/>
                <w:szCs w:val="21"/>
              </w:rPr>
            </w:pPr>
            <w:r>
              <w:rPr>
                <w:rFonts w:ascii="Times New Roman" w:eastAsia="黑体"/>
                <w:bCs/>
                <w:color w:val="000000"/>
                <w:sz w:val="21"/>
                <w:szCs w:val="21"/>
              </w:rPr>
              <w:t>论文题目</w:t>
            </w:r>
          </w:p>
        </w:tc>
        <w:tc>
          <w:tcPr>
            <w:tcW w:w="1305" w:type="dxa"/>
            <w:noWrap w:val="0"/>
            <w:vAlign w:val="center"/>
          </w:tcPr>
          <w:p>
            <w:pPr>
              <w:spacing w:line="400" w:lineRule="exact"/>
              <w:ind w:firstLine="0"/>
              <w:jc w:val="center"/>
              <w:rPr>
                <w:rFonts w:ascii="Times New Roman" w:eastAsia="黑体"/>
                <w:bCs/>
                <w:color w:val="000000"/>
                <w:sz w:val="21"/>
                <w:szCs w:val="21"/>
              </w:rPr>
            </w:pPr>
            <w:r>
              <w:rPr>
                <w:rFonts w:ascii="Times New Roman" w:eastAsia="黑体"/>
                <w:bCs/>
                <w:color w:val="000000"/>
                <w:sz w:val="21"/>
                <w:szCs w:val="21"/>
              </w:rPr>
              <w:t>作者姓名</w:t>
            </w:r>
          </w:p>
        </w:tc>
        <w:tc>
          <w:tcPr>
            <w:tcW w:w="2600" w:type="dxa"/>
            <w:noWrap w:val="0"/>
            <w:vAlign w:val="center"/>
          </w:tcPr>
          <w:p>
            <w:pPr>
              <w:spacing w:line="400" w:lineRule="exact"/>
              <w:ind w:firstLine="0"/>
              <w:jc w:val="center"/>
              <w:rPr>
                <w:rFonts w:ascii="Times New Roman" w:eastAsia="黑体"/>
                <w:bCs/>
                <w:color w:val="000000"/>
                <w:sz w:val="21"/>
                <w:szCs w:val="21"/>
              </w:rPr>
            </w:pPr>
            <w:r>
              <w:rPr>
                <w:rFonts w:ascii="Times New Roman" w:eastAsia="黑体"/>
                <w:bCs/>
                <w:color w:val="000000"/>
                <w:sz w:val="21"/>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某县级综合卒中中心应用Solitaire支架机械 取栓联合Navien导管抽吸技术治疗急性 前循环大血管闭塞的效果分析</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邱玉发</w:t>
            </w:r>
          </w:p>
          <w:p>
            <w:pPr>
              <w:spacing w:line="400" w:lineRule="exact"/>
              <w:ind w:firstLine="0"/>
              <w:jc w:val="center"/>
              <w:rPr>
                <w:rFonts w:ascii="Times New Roman" w:eastAsia="仿宋_GB2312"/>
                <w:sz w:val="21"/>
                <w:szCs w:val="21"/>
              </w:rPr>
            </w:pPr>
            <w:r>
              <w:rPr>
                <w:rFonts w:ascii="Times New Roman" w:eastAsia="仿宋_GB2312"/>
                <w:sz w:val="21"/>
                <w:szCs w:val="21"/>
              </w:rPr>
              <w:t>王  驰</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基于三级库房信息管理系统的医用低值耗材闭环管理及效果分析</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杨  静</w:t>
            </w:r>
          </w:p>
          <w:p>
            <w:pPr>
              <w:spacing w:line="400" w:lineRule="exact"/>
              <w:ind w:firstLine="0"/>
              <w:jc w:val="center"/>
              <w:rPr>
                <w:rFonts w:ascii="Times New Roman" w:eastAsia="仿宋_GB2312"/>
                <w:sz w:val="21"/>
                <w:szCs w:val="21"/>
              </w:rPr>
            </w:pPr>
            <w:r>
              <w:rPr>
                <w:rFonts w:ascii="Times New Roman" w:eastAsia="仿宋_GB2312"/>
                <w:sz w:val="21"/>
                <w:szCs w:val="21"/>
              </w:rPr>
              <w:t>张  瑜</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3</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阑尾锯齿状腺瘤并急性化脓性阑尾炎1例报道</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李卫平</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4</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超声引导下甲状腺结节微创治疗研究</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朱  正</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5</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实时弹性成像联合超声造影对甲状腺Tl-RADS 4类结节良恶性诊断价值的研究</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周  超</w:t>
            </w:r>
          </w:p>
          <w:p>
            <w:pPr>
              <w:spacing w:line="400" w:lineRule="exact"/>
              <w:ind w:firstLine="0"/>
              <w:jc w:val="center"/>
              <w:rPr>
                <w:rFonts w:ascii="Times New Roman" w:eastAsia="仿宋_GB2312"/>
                <w:sz w:val="21"/>
                <w:szCs w:val="21"/>
              </w:rPr>
            </w:pPr>
            <w:r>
              <w:rPr>
                <w:rFonts w:ascii="Times New Roman" w:eastAsia="仿宋_GB2312"/>
                <w:sz w:val="21"/>
                <w:szCs w:val="21"/>
              </w:rPr>
              <w:t>徐新艳</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6</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13例变应性支气管肺曲菌病的临床分析</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王琳琳</w:t>
            </w:r>
          </w:p>
          <w:p>
            <w:pPr>
              <w:spacing w:line="400" w:lineRule="exact"/>
              <w:ind w:firstLine="0"/>
              <w:jc w:val="center"/>
              <w:rPr>
                <w:rFonts w:ascii="Times New Roman" w:eastAsia="仿宋_GB2312"/>
                <w:sz w:val="21"/>
                <w:szCs w:val="21"/>
              </w:rPr>
            </w:pPr>
            <w:r>
              <w:rPr>
                <w:rFonts w:ascii="Times New Roman" w:eastAsia="仿宋_GB2312"/>
                <w:sz w:val="21"/>
                <w:szCs w:val="21"/>
              </w:rPr>
              <w:t>孙异锋</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7</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磁共振PWI技术对重型颅脑外伤高压氧干预时脑血流状态评价的临床应用价值研究</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蔡  俊</w:t>
            </w:r>
          </w:p>
          <w:p>
            <w:pPr>
              <w:spacing w:line="400" w:lineRule="exact"/>
              <w:ind w:firstLine="0"/>
              <w:jc w:val="center"/>
              <w:rPr>
                <w:rFonts w:ascii="Times New Roman" w:eastAsia="仿宋_GB2312"/>
                <w:sz w:val="21"/>
                <w:szCs w:val="21"/>
              </w:rPr>
            </w:pPr>
            <w:r>
              <w:rPr>
                <w:rFonts w:ascii="Times New Roman" w:eastAsia="仿宋_GB2312"/>
                <w:sz w:val="21"/>
                <w:szCs w:val="21"/>
              </w:rPr>
              <w:t>陈  勃</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8</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骨科-康复单元一体化康复治疗对单髁置换术后膝关节功能的影响</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沙  蕉</w:t>
            </w:r>
          </w:p>
          <w:p>
            <w:pPr>
              <w:spacing w:line="400" w:lineRule="exact"/>
              <w:ind w:firstLine="0"/>
              <w:jc w:val="center"/>
              <w:rPr>
                <w:rFonts w:ascii="Times New Roman" w:eastAsia="仿宋_GB2312"/>
                <w:sz w:val="21"/>
                <w:szCs w:val="21"/>
              </w:rPr>
            </w:pPr>
            <w:r>
              <w:rPr>
                <w:rFonts w:ascii="Times New Roman" w:eastAsia="仿宋_GB2312"/>
                <w:sz w:val="21"/>
                <w:szCs w:val="21"/>
              </w:rPr>
              <w:t>张振东</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9</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超声引导胸神经阻滞对乳腺癌改良根治术术后镇痛效果的评价</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祁富伟</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10</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益心健脑汤辅助治疗对急性脑梗死并发脑心综合征患者血液流变学的影响分析</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王  建</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11</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伴药源性肥胖的精神分裂症患者事件相关电位P300、血清脑源性神经营养因子及胰岛素抵抗的研究</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吴爱菊</w:t>
            </w:r>
          </w:p>
          <w:p>
            <w:pPr>
              <w:spacing w:line="400" w:lineRule="exact"/>
              <w:ind w:firstLine="0"/>
              <w:jc w:val="center"/>
              <w:rPr>
                <w:rFonts w:ascii="Times New Roman" w:eastAsia="仿宋_GB2312"/>
                <w:sz w:val="21"/>
                <w:szCs w:val="21"/>
              </w:rPr>
            </w:pPr>
            <w:r>
              <w:rPr>
                <w:rFonts w:ascii="Times New Roman" w:eastAsia="仿宋_GB2312"/>
                <w:sz w:val="21"/>
                <w:szCs w:val="21"/>
              </w:rPr>
              <w:t>张文跃</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太仓市第三人民医院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12</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安非他酮与选择性5-羟色胺再摄取抑制剂对首发女性抑郁症患者性功能的影响</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顾凤华</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太仓市第三人民医院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13</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化疗对胃肠肿瘤患者认知功能的影响</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张文跃</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太仓市第三人民医院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14</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MTHFR和TCF7L2基因多态性与妊娠期糖尿病易感性的相关性</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陈郁钢</w:t>
            </w:r>
          </w:p>
          <w:p>
            <w:pPr>
              <w:spacing w:line="400" w:lineRule="exact"/>
              <w:ind w:firstLine="0"/>
              <w:jc w:val="center"/>
              <w:rPr>
                <w:rFonts w:ascii="Times New Roman" w:eastAsia="仿宋_GB2312"/>
                <w:sz w:val="21"/>
                <w:szCs w:val="21"/>
              </w:rPr>
            </w:pPr>
            <w:r>
              <w:rPr>
                <w:rFonts w:ascii="Times New Roman" w:eastAsia="仿宋_GB2312"/>
                <w:sz w:val="21"/>
                <w:szCs w:val="21"/>
              </w:rPr>
              <w:t>杨凤英</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太仓市妇幼保健计划生育服务中心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15</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江苏省太仓市慢病居民健康自我管理工作模式及效果评价</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刘秋燕</w:t>
            </w:r>
          </w:p>
          <w:p>
            <w:pPr>
              <w:spacing w:line="400" w:lineRule="exact"/>
              <w:ind w:firstLine="0"/>
              <w:jc w:val="center"/>
              <w:rPr>
                <w:rFonts w:ascii="Times New Roman" w:eastAsia="仿宋_GB2312"/>
                <w:sz w:val="21"/>
                <w:szCs w:val="21"/>
              </w:rPr>
            </w:pPr>
            <w:r>
              <w:rPr>
                <w:rFonts w:ascii="Times New Roman" w:eastAsia="仿宋_GB2312"/>
                <w:sz w:val="21"/>
                <w:szCs w:val="21"/>
              </w:rPr>
              <w:t>姜纪武</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太仓市卫生培训与健康促进中心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16</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大数据审计的风险及防控</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周  艳</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太仓市审计局/太仓市审计学会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17</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太仓市生物医药产业集群发展的探索</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魏利斌</w:t>
            </w:r>
          </w:p>
          <w:p>
            <w:pPr>
              <w:spacing w:line="400" w:lineRule="exact"/>
              <w:ind w:firstLine="0"/>
              <w:jc w:val="center"/>
              <w:rPr>
                <w:rFonts w:ascii="Times New Roman" w:eastAsia="仿宋_GB2312"/>
                <w:sz w:val="21"/>
                <w:szCs w:val="21"/>
              </w:rPr>
            </w:pPr>
            <w:r>
              <w:rPr>
                <w:rFonts w:ascii="Times New Roman" w:eastAsia="仿宋_GB2312"/>
                <w:sz w:val="21"/>
                <w:szCs w:val="21"/>
              </w:rPr>
              <w:t>李喜英</w:t>
            </w:r>
          </w:p>
        </w:tc>
        <w:tc>
          <w:tcPr>
            <w:tcW w:w="2600" w:type="dxa"/>
            <w:noWrap w:val="0"/>
            <w:vAlign w:val="top"/>
          </w:tcPr>
          <w:p>
            <w:pPr>
              <w:spacing w:line="400" w:lineRule="exact"/>
              <w:ind w:firstLine="0"/>
              <w:jc w:val="center"/>
              <w:rPr>
                <w:rFonts w:ascii="Times New Roman" w:eastAsia="仿宋_GB2312"/>
                <w:sz w:val="21"/>
                <w:szCs w:val="21"/>
              </w:rPr>
            </w:pPr>
            <w:r>
              <w:rPr>
                <w:rFonts w:ascii="Times New Roman" w:eastAsia="仿宋_GB2312"/>
                <w:sz w:val="21"/>
                <w:szCs w:val="21"/>
              </w:rPr>
              <w:t>太仓市科学技术局</w:t>
            </w:r>
          </w:p>
          <w:p>
            <w:pPr>
              <w:spacing w:line="400" w:lineRule="exact"/>
              <w:ind w:firstLine="0"/>
              <w:jc w:val="center"/>
              <w:rPr>
                <w:rFonts w:ascii="Times New Roman" w:eastAsia="仿宋_GB2312"/>
                <w:sz w:val="21"/>
                <w:szCs w:val="21"/>
              </w:rPr>
            </w:pPr>
            <w:r>
              <w:rPr>
                <w:rFonts w:ascii="Times New Roman" w:eastAsia="仿宋_GB2312"/>
                <w:sz w:val="21"/>
                <w:szCs w:val="21"/>
              </w:rPr>
              <w:t>太仓市生产力促进中心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18</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基于DIVA_GIS和MaxEnt的美雕齿小蠹适生区预测对比研究</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周奕景</w:t>
            </w:r>
          </w:p>
          <w:p>
            <w:pPr>
              <w:spacing w:line="400" w:lineRule="exact"/>
              <w:ind w:firstLine="0"/>
              <w:jc w:val="center"/>
              <w:rPr>
                <w:rFonts w:ascii="Times New Roman" w:eastAsia="仿宋_GB2312"/>
                <w:sz w:val="21"/>
                <w:szCs w:val="21"/>
              </w:rPr>
            </w:pPr>
            <w:r>
              <w:rPr>
                <w:rFonts w:ascii="Times New Roman" w:eastAsia="仿宋_GB2312"/>
                <w:sz w:val="21"/>
                <w:szCs w:val="21"/>
              </w:rPr>
              <w:t>吕  飞</w:t>
            </w:r>
          </w:p>
        </w:tc>
        <w:tc>
          <w:tcPr>
            <w:tcW w:w="2600" w:type="dxa"/>
            <w:noWrap w:val="0"/>
            <w:vAlign w:val="center"/>
          </w:tcPr>
          <w:p>
            <w:pPr>
              <w:spacing w:line="400" w:lineRule="exact"/>
              <w:jc w:val="center"/>
              <w:rPr>
                <w:rFonts w:ascii="Times New Roman" w:eastAsia="仿宋_GB2312"/>
                <w:sz w:val="21"/>
                <w:szCs w:val="21"/>
              </w:rPr>
            </w:pPr>
            <w:r>
              <w:rPr>
                <w:rFonts w:ascii="Times New Roman" w:eastAsia="仿宋_GB2312"/>
                <w:sz w:val="21"/>
                <w:szCs w:val="21"/>
              </w:rPr>
              <w:t>太仓海关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19</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GCN2 deficiency protects against high fat diet induced hepatic steatosis and insulin resistance in mice(敲除GCN2缓解高脂诱导的肝脏脂质沉积和胰岛素抵抗的分子机制研究)</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刘莎莎</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赛业模式生物研究中心（太仓）有限公司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20</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Fabrication of Poly (butylene succinate)/ Carbon Black Nanocomposite Foams with Good Electrical Conductivity and High Strength by a Supercritical CO2 Foaming Process（采用超临界CO2发泡工艺制备导电、高强的聚丁二酸丁二醇酯/炭黑纳米复合材料）</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陈  舟</w:t>
            </w:r>
          </w:p>
          <w:p>
            <w:pPr>
              <w:spacing w:line="400" w:lineRule="exact"/>
              <w:ind w:firstLine="0"/>
              <w:jc w:val="center"/>
              <w:rPr>
                <w:rFonts w:ascii="Times New Roman" w:eastAsia="仿宋_GB2312"/>
                <w:sz w:val="21"/>
                <w:szCs w:val="21"/>
              </w:rPr>
            </w:pPr>
            <w:r>
              <w:rPr>
                <w:rFonts w:ascii="Times New Roman" w:eastAsia="仿宋_GB2312"/>
                <w:sz w:val="21"/>
                <w:szCs w:val="21"/>
              </w:rPr>
              <w:t>胡军峰</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苏州亿禾永利新能源有限公司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21</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探索不同播期播量对小麦镇麦10号产量品质的影响</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朱  薇</w:t>
            </w:r>
          </w:p>
          <w:p>
            <w:pPr>
              <w:spacing w:line="400" w:lineRule="exact"/>
              <w:ind w:firstLine="0"/>
              <w:jc w:val="center"/>
              <w:rPr>
                <w:rFonts w:ascii="Times New Roman" w:eastAsia="仿宋_GB2312"/>
                <w:sz w:val="21"/>
                <w:szCs w:val="21"/>
              </w:rPr>
            </w:pPr>
            <w:r>
              <w:rPr>
                <w:rFonts w:ascii="Times New Roman" w:eastAsia="仿宋_GB2312"/>
                <w:sz w:val="21"/>
                <w:szCs w:val="21"/>
              </w:rPr>
              <w:t>杨云娣</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太仓市农业技术推广中心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22</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硅肥在稻麦生产上应用效果试验</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杨云娣</w:t>
            </w:r>
          </w:p>
          <w:p>
            <w:pPr>
              <w:spacing w:line="400" w:lineRule="exact"/>
              <w:ind w:firstLine="0"/>
              <w:jc w:val="center"/>
              <w:rPr>
                <w:rFonts w:ascii="Times New Roman" w:eastAsia="仿宋_GB2312"/>
                <w:sz w:val="21"/>
                <w:szCs w:val="21"/>
              </w:rPr>
            </w:pPr>
            <w:r>
              <w:rPr>
                <w:rFonts w:ascii="Times New Roman" w:eastAsia="仿宋_GB2312"/>
                <w:sz w:val="21"/>
                <w:szCs w:val="21"/>
              </w:rPr>
              <w:t>姚雪球</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太仓市农业技术推广中心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23</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地理标志产品太仓大米标准及生产技术规程</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全坚宇</w:t>
            </w:r>
          </w:p>
          <w:p>
            <w:pPr>
              <w:spacing w:line="400" w:lineRule="exact"/>
              <w:ind w:firstLine="0"/>
              <w:jc w:val="center"/>
              <w:rPr>
                <w:rFonts w:ascii="Times New Roman" w:eastAsia="仿宋_GB2312"/>
                <w:sz w:val="21"/>
                <w:szCs w:val="21"/>
              </w:rPr>
            </w:pPr>
            <w:r>
              <w:rPr>
                <w:rFonts w:ascii="Times New Roman" w:eastAsia="仿宋_GB2312"/>
                <w:sz w:val="21"/>
                <w:szCs w:val="21"/>
              </w:rPr>
              <w:t>朱  薇</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太仓市农业技术推广中心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24</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苏铁害虫曲纹紫灰蝶的发生与防治研究进展</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郑  婷</w:t>
            </w:r>
          </w:p>
          <w:p>
            <w:pPr>
              <w:spacing w:line="400" w:lineRule="exact"/>
              <w:ind w:firstLine="0"/>
              <w:jc w:val="center"/>
              <w:rPr>
                <w:rFonts w:ascii="Times New Roman" w:eastAsia="仿宋_GB2312"/>
                <w:sz w:val="21"/>
                <w:szCs w:val="21"/>
              </w:rPr>
            </w:pPr>
            <w:r>
              <w:rPr>
                <w:rFonts w:ascii="Times New Roman" w:eastAsia="仿宋_GB2312"/>
                <w:sz w:val="21"/>
                <w:szCs w:val="21"/>
              </w:rPr>
              <w:t>徐建峰</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太仓市农业技术推广中心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25</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“青菜-茼蒿/香菜-荷兰豆”周年高效设施接茬种植技术</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姚雪球</w:t>
            </w:r>
          </w:p>
          <w:p>
            <w:pPr>
              <w:spacing w:line="400" w:lineRule="exact"/>
              <w:ind w:firstLine="0"/>
              <w:jc w:val="center"/>
              <w:rPr>
                <w:rFonts w:ascii="Times New Roman" w:eastAsia="仿宋_GB2312"/>
                <w:sz w:val="21"/>
                <w:szCs w:val="21"/>
              </w:rPr>
            </w:pPr>
            <w:r>
              <w:rPr>
                <w:rFonts w:ascii="Times New Roman" w:eastAsia="仿宋_GB2312"/>
                <w:sz w:val="21"/>
                <w:szCs w:val="21"/>
              </w:rPr>
              <w:t>倪雪荣</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太仓市璜泾镇农业技术服务站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26</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教科研训一体：指向质量提升的教师专业发展新路径</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王七林</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27</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初中生物“DIY”教学的误区及解决对策</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邵永刚</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28</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智慧云背景下课堂教学转型的前瞻思考</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严乃超</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29</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高职院校</w:t>
            </w:r>
            <w:r>
              <w:rPr>
                <w:rFonts w:ascii="Times New Roman" w:eastAsia="仿宋_GB2312"/>
                <w:sz w:val="21"/>
                <w:szCs w:val="21"/>
                <w:cs/>
              </w:rPr>
              <w:t>“</w:t>
            </w:r>
            <w:r>
              <w:rPr>
                <w:rFonts w:ascii="Times New Roman" w:eastAsia="仿宋_GB2312"/>
                <w:sz w:val="21"/>
                <w:szCs w:val="21"/>
              </w:rPr>
              <w:t>产教融合</w:t>
            </w:r>
            <w:r>
              <w:rPr>
                <w:rFonts w:ascii="Times New Roman" w:eastAsia="仿宋_GB2312"/>
                <w:sz w:val="21"/>
                <w:szCs w:val="21"/>
                <w:cs/>
              </w:rPr>
              <w:t>”</w:t>
            </w:r>
            <w:r>
              <w:rPr>
                <w:rFonts w:ascii="Times New Roman" w:eastAsia="仿宋_GB2312"/>
                <w:sz w:val="21"/>
                <w:szCs w:val="21"/>
              </w:rPr>
              <w:t>教学团队培养政策措施研究——以苏州健雄职业技术学院为例</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周琪玮</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30</w:t>
            </w:r>
          </w:p>
        </w:tc>
        <w:tc>
          <w:tcPr>
            <w:tcW w:w="4500" w:type="dxa"/>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宏 /微双驱动微切削定位进给系统的递进式误差补偿技术研究</w:t>
            </w:r>
          </w:p>
        </w:tc>
        <w:tc>
          <w:tcPr>
            <w:tcW w:w="1305"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纪飞飞</w:t>
            </w:r>
          </w:p>
        </w:tc>
        <w:tc>
          <w:tcPr>
            <w:tcW w:w="2600" w:type="dxa"/>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31</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工业设备远程监控中的数据压缩研究</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史桂红</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32</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基于深度学习的工业机器人物品识别分拣系统设计</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韩  锐</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33</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三明治结构纳米银/氧化石墨烯基底的制备及SEＲS 性能</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王  稳</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34</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Switchable peptide-equipped protein/cucurbit[7] uril supramolecular assembly for targeted drug delivery(多肽修饰的蛋白/葫芦[7]脲超分子体系在靶向给药系统的研究)</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严丹红</w:t>
            </w:r>
          </w:p>
          <w:p>
            <w:pPr>
              <w:spacing w:line="400" w:lineRule="exact"/>
              <w:ind w:firstLine="0"/>
              <w:jc w:val="center"/>
              <w:rPr>
                <w:rFonts w:ascii="Times New Roman" w:eastAsia="仿宋_GB2312"/>
                <w:sz w:val="21"/>
                <w:szCs w:val="21"/>
              </w:rPr>
            </w:pPr>
            <w:r>
              <w:rPr>
                <w:rFonts w:ascii="Times New Roman" w:eastAsia="仿宋_GB2312"/>
                <w:sz w:val="21"/>
                <w:szCs w:val="21"/>
              </w:rPr>
              <w:t>苗向阳</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35</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开展DBL实践，提升学生信息素养</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庄  燕</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江苏省沙溪高级中学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36</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基于磁学学科特点和知识特点的教学策略浅析</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姜庆荣</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江苏省沙溪高级中学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37</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浅谈漫画在历史教学中的价值——由2018年高考历史北京卷第18题引发的思考</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袁学红</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江苏省沙溪高级中学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38</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基于IDEAL模式指导下的问题情境教学驱动学生核心素养发展</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戴  明</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太仓市明德高级中学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39</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图谱相融,让音乐有形有色</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赵丽琴</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40</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“阅”出精彩 “绘”就本领——小学英语绘本阅读教学中深度学习的探索</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金  怡</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41</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研学旅行课程内容设置方法及其注意点</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孟初薇</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42</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种下&lt;拓展&gt;的“可能性”，等待秋天</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郝进峰</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43</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整合设计，让研学旅行课程更有深度</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周春梅</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44</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家校协同实施研学旅行课程的有效策略</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朱志刚</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45</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最熟悉的陌生人：信息技术课程与综合实践活动课程的前生今世</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张勤坚</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46</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从素材到素养</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俞芳芳</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太仓市港城小学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47</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为梦想而前行——从“分层走班”到“多向融合”的探索</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陈玉红</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太仓市特殊教育学校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48</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让“不喜欢”的材料创造更多的可能</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孙燕峰</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太仓市科教新城幼教中心南郊幼儿园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49</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例谈以“关键经验”为线索的区域活动材料设计</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张  丹</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太仓市科教新城幼教中心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50</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让稻草说话——增添班级田园韵味</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梁默然</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太仓市浏河镇幼教中心明德幼儿园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51</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left"/>
              <w:rPr>
                <w:rFonts w:ascii="Times New Roman" w:eastAsia="仿宋_GB2312"/>
                <w:sz w:val="21"/>
                <w:szCs w:val="21"/>
              </w:rPr>
            </w:pPr>
            <w:r>
              <w:rPr>
                <w:rFonts w:ascii="Times New Roman" w:eastAsia="仿宋_GB2312"/>
                <w:sz w:val="21"/>
                <w:szCs w:val="21"/>
              </w:rPr>
              <w:t>利用公共自然区提升幼儿科学探究能力的指导策略</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闵佳佳</w:t>
            </w:r>
          </w:p>
        </w:tc>
        <w:tc>
          <w:tcPr>
            <w:tcW w:w="26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jc w:val="center"/>
              <w:rPr>
                <w:rFonts w:ascii="Times New Roman" w:eastAsia="仿宋_GB2312"/>
                <w:sz w:val="21"/>
                <w:szCs w:val="21"/>
              </w:rPr>
            </w:pPr>
            <w:r>
              <w:rPr>
                <w:rFonts w:ascii="Times New Roman" w:eastAsia="仿宋_GB2312"/>
                <w:sz w:val="21"/>
                <w:szCs w:val="21"/>
              </w:rPr>
              <w:t>太仓市浏河镇幼教中心紫薇幼儿园</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roma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3221A"/>
    <w:rsid w:val="5C032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2020-07-15T07:44:00Z</dcterms:created>
  <dc:creator>fight for myself</dc:creator>
  <cp:lastModifiedBy>fight for myself</cp:lastModifiedBy>
  <dcterms:modified xsi:type="dcterms:W3CDTF">2020-07-15T07:45:39Z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