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jc w:val="center"/>
        <w:rPr>
          <w:rFonts w:ascii="Times New Roman" w:eastAsia="方正小标宋简体"/>
          <w:sz w:val="44"/>
          <w:szCs w:val="44"/>
        </w:rPr>
      </w:pPr>
      <w:r>
        <w:rPr>
          <w:rFonts w:ascii="Times New Roman" w:eastAsia="方正小标宋简体"/>
          <w:sz w:val="44"/>
          <w:szCs w:val="44"/>
        </w:rPr>
        <w:t>太仓市推进生物医药产业创新集群发展</w:t>
      </w:r>
    </w:p>
    <w:p>
      <w:pPr>
        <w:spacing w:line="560" w:lineRule="exact"/>
        <w:ind w:firstLine="0"/>
        <w:jc w:val="center"/>
        <w:rPr>
          <w:rFonts w:ascii="Times New Roman" w:eastAsia="方正小标宋简体"/>
          <w:sz w:val="36"/>
          <w:szCs w:val="36"/>
        </w:rPr>
      </w:pPr>
      <w:r>
        <w:rPr>
          <w:rFonts w:ascii="Times New Roman" w:eastAsia="方正小标宋简体"/>
          <w:sz w:val="44"/>
          <w:szCs w:val="44"/>
        </w:rPr>
        <w:t>2025行动计划</w:t>
      </w:r>
    </w:p>
    <w:p>
      <w:pPr>
        <w:ind w:firstLine="640" w:firstLineChars="200"/>
        <w:rPr>
          <w:rFonts w:ascii="Times New Roman" w:eastAsia="楷体"/>
          <w:szCs w:val="32"/>
        </w:rPr>
      </w:pPr>
    </w:p>
    <w:p>
      <w:pPr>
        <w:spacing w:line="560" w:lineRule="exact"/>
        <w:ind w:firstLine="640" w:firstLineChars="200"/>
        <w:rPr>
          <w:rFonts w:ascii="Times New Roman" w:eastAsia="仿宋_GB2312"/>
          <w:szCs w:val="32"/>
        </w:rPr>
      </w:pPr>
      <w:r>
        <w:rPr>
          <w:rFonts w:ascii="Times New Roman" w:eastAsia="仿宋_GB2312"/>
          <w:szCs w:val="32"/>
        </w:rPr>
        <w:t>为贯彻落实《苏州市推进数字经济时代产业创新集群建设2025行动计划》《苏州市生物医药产业创新集群建设实施方案》和《太仓市生物医药及健康产业高质量发展行动方案》等文件精神，进一步提升太仓市生物医药产业创新集群发展能级，推动产业链和价值链升级，特制定本行动计划。</w:t>
      </w:r>
    </w:p>
    <w:p>
      <w:pPr>
        <w:spacing w:line="560" w:lineRule="exact"/>
        <w:ind w:firstLine="640" w:firstLineChars="200"/>
        <w:outlineLvl w:val="0"/>
        <w:rPr>
          <w:rFonts w:ascii="Times New Roman" w:eastAsia="黑体"/>
          <w:bCs/>
          <w:szCs w:val="32"/>
        </w:rPr>
      </w:pPr>
      <w:r>
        <w:rPr>
          <w:rFonts w:ascii="Times New Roman" w:eastAsia="黑体"/>
          <w:bCs/>
          <w:szCs w:val="32"/>
        </w:rPr>
        <w:t>一、总体要求</w:t>
      </w:r>
    </w:p>
    <w:p>
      <w:pPr>
        <w:pStyle w:val="6"/>
        <w:spacing w:line="560" w:lineRule="exact"/>
        <w:ind w:firstLine="640"/>
        <w:outlineLvl w:val="1"/>
        <w:rPr>
          <w:rFonts w:ascii="Times New Roman" w:eastAsia="楷体_GB2312"/>
          <w:szCs w:val="32"/>
        </w:rPr>
      </w:pPr>
      <w:r>
        <w:rPr>
          <w:rFonts w:ascii="Times New Roman" w:eastAsia="楷体_GB2312"/>
          <w:szCs w:val="32"/>
        </w:rPr>
        <w:t>（一）指导思想</w:t>
      </w:r>
    </w:p>
    <w:p>
      <w:pPr>
        <w:spacing w:line="560" w:lineRule="exact"/>
        <w:ind w:firstLine="640" w:firstLineChars="200"/>
        <w:rPr>
          <w:rFonts w:ascii="Times New Roman" w:eastAsia="仿宋_GB2312"/>
          <w:szCs w:val="32"/>
        </w:rPr>
      </w:pPr>
      <w:r>
        <w:rPr>
          <w:rFonts w:ascii="Times New Roman" w:eastAsia="仿宋_GB2312"/>
          <w:szCs w:val="32"/>
        </w:rPr>
        <w:t>以习近平新时代中国特色社会主义思想为指导，深入贯彻党的十九大和十九届历次全会精神，认真落实习近平总书记视察江苏系列重要讲话指示精神，紧抓全球生物医药创新转型升级、长三角一体化协同发展、苏州市生物医药产业创新集群发展等契机，对标国内外生物医药产业创新高地，完善思路、科学谋划、创新机制、强化措施，推动创新链、产业链、服务链的高效衔接，增强产业技术创新能力，打造具有特色的生物医药产业新高地。</w:t>
      </w:r>
    </w:p>
    <w:p>
      <w:pPr>
        <w:pStyle w:val="6"/>
        <w:spacing w:line="560" w:lineRule="exact"/>
        <w:ind w:firstLine="640"/>
        <w:outlineLvl w:val="1"/>
        <w:rPr>
          <w:rFonts w:ascii="Times New Roman" w:eastAsia="楷体_GB2312"/>
          <w:bCs/>
          <w:szCs w:val="32"/>
        </w:rPr>
      </w:pPr>
      <w:r>
        <w:rPr>
          <w:rFonts w:ascii="Times New Roman" w:eastAsia="楷体_GB2312"/>
          <w:bCs/>
          <w:szCs w:val="32"/>
        </w:rPr>
        <w:t>（二）发展目标</w:t>
      </w:r>
    </w:p>
    <w:p>
      <w:pPr>
        <w:spacing w:line="560" w:lineRule="exact"/>
        <w:ind w:firstLine="640" w:firstLineChars="200"/>
        <w:rPr>
          <w:rFonts w:ascii="Times New Roman" w:eastAsia="仿宋_GB2312"/>
          <w:szCs w:val="32"/>
        </w:rPr>
      </w:pPr>
      <w:r>
        <w:rPr>
          <w:rFonts w:ascii="Times New Roman" w:eastAsia="仿宋_GB2312"/>
          <w:szCs w:val="32"/>
        </w:rPr>
        <w:t>2025年，太仓生物医药产业规模突破500亿元，形成创新集群发展优势，完善核心产业链，实现高水平集群发展。</w:t>
      </w:r>
    </w:p>
    <w:p>
      <w:pPr>
        <w:spacing w:line="560" w:lineRule="exact"/>
        <w:ind w:firstLine="643" w:firstLineChars="200"/>
        <w:rPr>
          <w:rFonts w:ascii="Times New Roman" w:eastAsia="仿宋_GB2312"/>
          <w:color w:val="FF0000"/>
          <w:szCs w:val="32"/>
        </w:rPr>
      </w:pPr>
      <w:r>
        <w:rPr>
          <w:rFonts w:ascii="Times New Roman" w:eastAsia="仿宋_GB2312"/>
          <w:b/>
          <w:bCs/>
          <w:szCs w:val="32"/>
        </w:rPr>
        <w:t>产业能级全面提升。</w:t>
      </w:r>
      <w:r>
        <w:rPr>
          <w:rFonts w:ascii="Times New Roman" w:eastAsia="仿宋_GB2312"/>
          <w:szCs w:val="32"/>
        </w:rPr>
        <w:t>到2025年，生物医药企业数量超500家，其中营收超10亿的企业10家以上，营收超3亿的企业20家以上，新增国内外IPO上市企业5家以上。新增“独角兽”培育企业20家。当年度新申报上市药品和医疗器械超100件。</w:t>
      </w:r>
    </w:p>
    <w:p>
      <w:pPr>
        <w:spacing w:line="560" w:lineRule="exact"/>
        <w:ind w:firstLine="643" w:firstLineChars="200"/>
        <w:rPr>
          <w:rFonts w:ascii="Times New Roman" w:eastAsia="仿宋_GB2312"/>
          <w:szCs w:val="32"/>
        </w:rPr>
      </w:pPr>
      <w:r>
        <w:rPr>
          <w:rFonts w:ascii="Times New Roman" w:eastAsia="仿宋_GB2312"/>
          <w:b/>
          <w:bCs/>
          <w:szCs w:val="32"/>
        </w:rPr>
        <w:t>创新能力不断增强。</w:t>
      </w:r>
      <w:r>
        <w:rPr>
          <w:rFonts w:ascii="Times New Roman" w:eastAsia="仿宋_GB2312"/>
          <w:szCs w:val="32"/>
        </w:rPr>
        <w:t>形成生物医药多学科交叉融合特色，培育3-5个产业导向、高水平交叉的团队，建成1-2个省级重点实验室或工程技术中心，在新建高校中增设1-2个生物医药特色学院，集聚若干特色研发机构。高水平人才集聚格局形成，引进培育各级各类生物医药领军人才不少于150人。</w:t>
      </w:r>
    </w:p>
    <w:p>
      <w:pPr>
        <w:spacing w:line="560" w:lineRule="exact"/>
        <w:ind w:firstLine="643" w:firstLineChars="200"/>
        <w:rPr>
          <w:rFonts w:ascii="Times New Roman" w:eastAsia="仿宋_GB2312"/>
          <w:szCs w:val="32"/>
        </w:rPr>
      </w:pPr>
      <w:r>
        <w:rPr>
          <w:rFonts w:ascii="Times New Roman" w:eastAsia="仿宋_GB2312"/>
          <w:b/>
          <w:bCs/>
          <w:szCs w:val="32"/>
        </w:rPr>
        <w:t>服务平台实现突破。</w:t>
      </w:r>
      <w:r>
        <w:rPr>
          <w:rFonts w:ascii="Times New Roman" w:eastAsia="仿宋_GB2312"/>
          <w:szCs w:val="32"/>
        </w:rPr>
        <w:t>临床研究能级大幅提升，建成1-2个国家药监局备案的药物或医疗器械临床试验机构、2-3个医研企协同创新基地；实现新药筛选和检测平台、临床研究平台、合同定制研发生产（CDMO）平台的一体化集成，面向生物医药创新全链条的公共服务效能全面提升。</w:t>
      </w:r>
    </w:p>
    <w:p>
      <w:pPr>
        <w:spacing w:line="560" w:lineRule="exact"/>
        <w:ind w:firstLine="643" w:firstLineChars="200"/>
        <w:rPr>
          <w:rFonts w:ascii="Times New Roman" w:eastAsia="仿宋_GB2312"/>
          <w:szCs w:val="32"/>
        </w:rPr>
      </w:pPr>
      <w:r>
        <w:rPr>
          <w:rFonts w:ascii="Times New Roman" w:eastAsia="仿宋_GB2312"/>
          <w:b/>
          <w:bCs/>
          <w:szCs w:val="32"/>
        </w:rPr>
        <w:t>产业生态不断优化。</w:t>
      </w:r>
      <w:r>
        <w:rPr>
          <w:rFonts w:ascii="Times New Roman" w:eastAsia="仿宋_GB2312"/>
        </w:rPr>
        <w:t>搭建</w:t>
      </w:r>
      <w:r>
        <w:rPr>
          <w:rFonts w:ascii="Times New Roman" w:eastAsia="仿宋_GB2312"/>
          <w:szCs w:val="32"/>
        </w:rPr>
        <w:t>与药品监督管理部门的</w:t>
      </w:r>
      <w:r>
        <w:rPr>
          <w:rFonts w:ascii="Times New Roman" w:eastAsia="仿宋_GB2312"/>
        </w:rPr>
        <w:t>沟通协调机制，优化</w:t>
      </w:r>
      <w:r>
        <w:rPr>
          <w:rFonts w:ascii="Times New Roman" w:eastAsia="仿宋_GB2312"/>
          <w:szCs w:val="32"/>
        </w:rPr>
        <w:t>审批审评通道</w:t>
      </w:r>
      <w:r>
        <w:rPr>
          <w:rFonts w:ascii="Times New Roman" w:eastAsia="仿宋_GB2312"/>
        </w:rPr>
        <w:t>，提供精准靶向服务。重点</w:t>
      </w:r>
      <w:r>
        <w:rPr>
          <w:rFonts w:ascii="Times New Roman" w:eastAsia="仿宋_GB2312"/>
          <w:szCs w:val="32"/>
        </w:rPr>
        <w:t>支持太仓市生物医药产业园、太仓生物港、中德（太仓）生命健康产业园三大园区建设，建立优势互补、特色明显的联动发展机制，形成与苏州工业园区、张江高科技园区等长三角园区协同发展的格局。2025年，</w:t>
      </w:r>
      <w:r>
        <w:rPr>
          <w:rFonts w:ascii="Times New Roman" w:eastAsia="仿宋_GB2312"/>
          <w:spacing w:val="-4"/>
          <w:szCs w:val="32"/>
        </w:rPr>
        <w:t>生物医药类科创基金规模达50亿元，新增生物医药载体面积200万平方米。</w:t>
      </w:r>
    </w:p>
    <w:p>
      <w:pPr>
        <w:spacing w:line="560" w:lineRule="exact"/>
        <w:ind w:firstLine="640" w:firstLineChars="200"/>
        <w:outlineLvl w:val="0"/>
        <w:rPr>
          <w:rFonts w:ascii="Times New Roman" w:eastAsia="黑体"/>
          <w:bCs/>
          <w:szCs w:val="32"/>
        </w:rPr>
      </w:pPr>
      <w:r>
        <w:rPr>
          <w:rFonts w:ascii="Times New Roman" w:eastAsia="黑体"/>
          <w:bCs/>
          <w:szCs w:val="32"/>
        </w:rPr>
        <w:t>二、重点任务</w:t>
      </w:r>
    </w:p>
    <w:p>
      <w:pPr>
        <w:pStyle w:val="6"/>
        <w:spacing w:line="560" w:lineRule="exact"/>
        <w:ind w:firstLine="640"/>
        <w:outlineLvl w:val="1"/>
        <w:rPr>
          <w:rFonts w:ascii="Times New Roman" w:eastAsia="楷体_GB2312"/>
          <w:bCs/>
          <w:szCs w:val="32"/>
        </w:rPr>
      </w:pPr>
      <w:r>
        <w:rPr>
          <w:rFonts w:ascii="Times New Roman" w:eastAsia="楷体_GB2312"/>
          <w:bCs/>
          <w:szCs w:val="32"/>
        </w:rPr>
        <w:t>（一）特色产业培育行动</w:t>
      </w:r>
    </w:p>
    <w:p>
      <w:pPr>
        <w:spacing w:line="560" w:lineRule="exact"/>
        <w:ind w:firstLine="643" w:firstLineChars="200"/>
        <w:outlineLvl w:val="2"/>
        <w:rPr>
          <w:rFonts w:ascii="Times New Roman" w:eastAsia="仿宋_GB2312"/>
          <w:b/>
          <w:szCs w:val="32"/>
        </w:rPr>
      </w:pPr>
      <w:r>
        <w:rPr>
          <w:rFonts w:ascii="Times New Roman" w:eastAsia="仿宋_GB2312"/>
          <w:b/>
          <w:szCs w:val="32"/>
        </w:rPr>
        <w:t>1. 加快推进医药产业创新发展</w:t>
      </w:r>
    </w:p>
    <w:p>
      <w:pPr>
        <w:spacing w:line="560" w:lineRule="exact"/>
        <w:ind w:firstLine="643" w:firstLineChars="200"/>
        <w:rPr>
          <w:rFonts w:ascii="Times New Roman" w:eastAsia="仿宋_GB2312"/>
          <w:szCs w:val="32"/>
        </w:rPr>
      </w:pPr>
      <w:r>
        <w:rPr>
          <w:rFonts w:ascii="Times New Roman" w:eastAsia="仿宋_GB2312"/>
          <w:b/>
          <w:bCs/>
          <w:szCs w:val="32"/>
        </w:rPr>
        <w:t>生物药</w:t>
      </w:r>
      <w:r>
        <w:rPr>
          <w:rFonts w:ascii="Times New Roman" w:eastAsia="仿宋_GB2312"/>
          <w:szCs w:val="32"/>
        </w:rPr>
        <w:t>：依托康乃德、信立泰等现有龙头企业，重点发展新型抗体药物、抗体偶联药物、全新结构蛋白及多肽药物、核酸药物、系统靶点药物、细胞与基因治疗，并引进培育一批创新型企业；</w:t>
      </w:r>
      <w:r>
        <w:rPr>
          <w:rFonts w:ascii="Times New Roman" w:eastAsia="仿宋_GB2312"/>
          <w:b/>
          <w:bCs/>
          <w:szCs w:val="32"/>
        </w:rPr>
        <w:t>新型化药</w:t>
      </w:r>
      <w:r>
        <w:rPr>
          <w:rFonts w:ascii="Times New Roman" w:eastAsia="仿宋_GB2312"/>
          <w:szCs w:val="32"/>
        </w:rPr>
        <w:t>：依托雅本化学、欧米尼、聪明制药等现有龙头企业，</w:t>
      </w:r>
      <w:r>
        <w:rPr>
          <w:rFonts w:ascii="Times New Roman" w:eastAsia="仿宋_GB2312"/>
          <w:spacing w:val="-4"/>
          <w:szCs w:val="32"/>
        </w:rPr>
        <w:t>重点发展PROTAC新药开发技术、给药新技术、药物缓释控释技术及新机制、新靶点、新结构、新药物组合和新剂型化学药等</w:t>
      </w:r>
      <w:r>
        <w:rPr>
          <w:rFonts w:ascii="Times New Roman" w:eastAsia="仿宋_GB2312"/>
          <w:szCs w:val="32"/>
        </w:rPr>
        <w:t>；</w:t>
      </w:r>
      <w:r>
        <w:rPr>
          <w:rFonts w:ascii="Times New Roman" w:eastAsia="仿宋_GB2312"/>
          <w:b/>
          <w:bCs/>
          <w:szCs w:val="32"/>
        </w:rPr>
        <w:t>中医药</w:t>
      </w:r>
      <w:r>
        <w:rPr>
          <w:rFonts w:ascii="Times New Roman" w:eastAsia="仿宋_GB2312"/>
          <w:szCs w:val="32"/>
        </w:rPr>
        <w:t>：立足娄东医派特色，引进培育一批中医药企业，传承发扬中医药特色理论、特色方药、特色技术，</w:t>
      </w:r>
      <w:r>
        <w:rPr>
          <w:rFonts w:ascii="Times New Roman" w:eastAsia="仿宋_GB2312"/>
          <w:spacing w:val="-4"/>
          <w:szCs w:val="32"/>
        </w:rPr>
        <w:t>重点推进中药药学、中药活性筛选、安全性评价和药理学研究，促进传统中药的二次开发</w:t>
      </w:r>
      <w:r>
        <w:rPr>
          <w:rFonts w:ascii="Times New Roman" w:eastAsia="仿宋_GB2312"/>
          <w:szCs w:val="32"/>
        </w:rPr>
        <w:t>。</w:t>
      </w:r>
    </w:p>
    <w:p>
      <w:pPr>
        <w:numPr>
          <w:ilvl w:val="0"/>
          <w:numId w:val="1"/>
        </w:numPr>
        <w:spacing w:line="560" w:lineRule="exact"/>
        <w:ind w:firstLine="643" w:firstLineChars="200"/>
        <w:outlineLvl w:val="2"/>
        <w:rPr>
          <w:rFonts w:ascii="Times New Roman" w:eastAsia="仿宋_GB2312"/>
          <w:b/>
          <w:szCs w:val="32"/>
        </w:rPr>
      </w:pPr>
      <w:r>
        <w:rPr>
          <w:rFonts w:ascii="Times New Roman" w:eastAsia="仿宋_GB2312"/>
          <w:b/>
          <w:szCs w:val="32"/>
        </w:rPr>
        <w:t>做大做强高端医疗器械产业</w:t>
      </w:r>
    </w:p>
    <w:p>
      <w:pPr>
        <w:spacing w:line="560" w:lineRule="exact"/>
        <w:ind w:firstLine="643" w:firstLineChars="200"/>
        <w:rPr>
          <w:rFonts w:ascii="Times New Roman" w:eastAsia="仿宋_GB2312"/>
          <w:szCs w:val="32"/>
        </w:rPr>
      </w:pPr>
      <w:r>
        <w:rPr>
          <w:rFonts w:ascii="Times New Roman" w:eastAsia="仿宋_GB2312"/>
          <w:b/>
          <w:bCs/>
          <w:szCs w:val="32"/>
        </w:rPr>
        <w:t>体外诊断</w:t>
      </w:r>
      <w:r>
        <w:rPr>
          <w:rFonts w:ascii="Times New Roman" w:eastAsia="仿宋_GB2312"/>
          <w:szCs w:val="32"/>
        </w:rPr>
        <w:t>：依托新波生物、华益美生物等现有龙头企业，突破数字微流控、化学发光分析、</w:t>
      </w:r>
      <w:r>
        <w:rPr>
          <w:rFonts w:ascii="Times New Roman" w:eastAsia="仿宋_GB2312"/>
          <w:spacing w:val="-4"/>
          <w:szCs w:val="32"/>
        </w:rPr>
        <w:t>基因检测</w:t>
      </w:r>
      <w:r>
        <w:rPr>
          <w:rFonts w:ascii="Times New Roman" w:eastAsia="仿宋_GB2312"/>
          <w:szCs w:val="32"/>
        </w:rPr>
        <w:t>等体外诊断技术，加快开发免疫分析仪、高性能生化分析装备、高通量基因测序设备、数字PCR、POCT等新型设备和配套试剂。</w:t>
      </w:r>
      <w:r>
        <w:rPr>
          <w:rFonts w:ascii="Times New Roman" w:eastAsia="仿宋_GB2312"/>
          <w:b/>
          <w:bCs/>
          <w:szCs w:val="32"/>
        </w:rPr>
        <w:t>植介入器械</w:t>
      </w:r>
      <w:r>
        <w:rPr>
          <w:rFonts w:ascii="Times New Roman" w:eastAsia="仿宋_GB2312"/>
          <w:szCs w:val="32"/>
        </w:rPr>
        <w:t>：依托卓阮医疗等现有龙头企业，发展新型生物医用材料，重点推动百德（苏州）医疗、瑞沛思等龙头企业在微波消融、骨科植入物、血管植入物、种植牙、人工器官、药械组合等产品的开发。</w:t>
      </w:r>
      <w:r>
        <w:rPr>
          <w:rFonts w:ascii="Times New Roman" w:eastAsia="仿宋_GB2312"/>
          <w:b/>
          <w:bCs/>
          <w:szCs w:val="32"/>
        </w:rPr>
        <w:t>康复器材</w:t>
      </w:r>
      <w:r>
        <w:rPr>
          <w:rFonts w:ascii="Times New Roman" w:eastAsia="仿宋_GB2312"/>
          <w:szCs w:val="32"/>
        </w:rPr>
        <w:t>：支持好博医疗、康辉医疗等现有龙头企业在磁刺激康复器械、电生理康复器械、康复机器人和耗材配件、体外膜肺氧合机等康复器械的创新探索。</w:t>
      </w:r>
      <w:r>
        <w:rPr>
          <w:rFonts w:ascii="Times New Roman" w:eastAsia="仿宋_GB2312"/>
          <w:b/>
          <w:bCs/>
          <w:szCs w:val="32"/>
        </w:rPr>
        <w:t>其他</w:t>
      </w:r>
      <w:r>
        <w:rPr>
          <w:rFonts w:ascii="Times New Roman" w:eastAsia="仿宋_GB2312"/>
          <w:szCs w:val="32"/>
        </w:rPr>
        <w:t>：依托奕瑞影像等现有龙头企业，积极引进手术机器人、影像设备、放疗设备、微纳医疗器械等方面的企业，培育产业新增长点。</w:t>
      </w:r>
    </w:p>
    <w:p>
      <w:pPr>
        <w:numPr>
          <w:ilvl w:val="0"/>
          <w:numId w:val="1"/>
        </w:numPr>
        <w:spacing w:line="560" w:lineRule="exact"/>
        <w:ind w:firstLine="643" w:firstLineChars="200"/>
        <w:outlineLvl w:val="2"/>
        <w:rPr>
          <w:rFonts w:ascii="Times New Roman" w:eastAsia="仿宋_GB2312"/>
          <w:b/>
          <w:szCs w:val="32"/>
        </w:rPr>
      </w:pPr>
      <w:r>
        <w:rPr>
          <w:rFonts w:ascii="Times New Roman" w:eastAsia="仿宋_GB2312"/>
          <w:b/>
          <w:szCs w:val="32"/>
        </w:rPr>
        <w:t>打造一站式医药外包服务产业</w:t>
      </w:r>
    </w:p>
    <w:p>
      <w:pPr>
        <w:spacing w:line="560" w:lineRule="exact"/>
        <w:ind w:firstLine="640" w:firstLineChars="200"/>
        <w:rPr>
          <w:rFonts w:ascii="Times New Roman" w:eastAsia="仿宋_GB2312"/>
          <w:szCs w:val="32"/>
        </w:rPr>
      </w:pPr>
      <w:r>
        <w:rPr>
          <w:rFonts w:ascii="Times New Roman" w:eastAsia="仿宋_GB2312"/>
          <w:szCs w:val="32"/>
        </w:rPr>
        <w:t>实施外包服务强链计划，支持昭衍新药、中美冠科、赛业生物、百因诺生物等龙头企业在细胞实验、中小动物实验、临床前大动物实验、临床试验服务等能级的提升，打造太仓“一站式”外包服务品牌；实施外包服务延链计划，支持临床前及临床合同研发组织</w:t>
      </w:r>
      <w:r>
        <w:rPr>
          <w:rFonts w:ascii="Times New Roman" w:eastAsia="宋体"/>
          <w:spacing w:val="-4"/>
          <w:szCs w:val="32"/>
        </w:rPr>
        <w:t>（CRO）</w:t>
      </w:r>
      <w:r>
        <w:rPr>
          <w:rFonts w:ascii="Times New Roman" w:eastAsia="仿宋_GB2312"/>
          <w:szCs w:val="32"/>
        </w:rPr>
        <w:t>企业向</w:t>
      </w:r>
      <w:r>
        <w:rPr>
          <w:rFonts w:ascii="Times New Roman" w:eastAsia="仿宋_GB2312"/>
          <w:szCs w:val="28"/>
        </w:rPr>
        <w:t>合同研发生产组织</w:t>
      </w:r>
      <w:r>
        <w:rPr>
          <w:rFonts w:ascii="Times New Roman"/>
          <w:spacing w:val="-4"/>
          <w:szCs w:val="32"/>
        </w:rPr>
        <w:t>（CMO/CDMO）</w:t>
      </w:r>
      <w:r>
        <w:rPr>
          <w:rFonts w:ascii="Times New Roman" w:eastAsia="仿宋_GB2312"/>
          <w:szCs w:val="32"/>
        </w:rPr>
        <w:t>的延伸；实施外包服务补链计划，鼓励医药研发服务企业发展一站式服务，贯穿新药研发生产全流程，提高对国内外生物医药研发的系统支持能力。</w:t>
      </w:r>
    </w:p>
    <w:p>
      <w:pPr>
        <w:pStyle w:val="6"/>
        <w:spacing w:line="560" w:lineRule="exact"/>
        <w:ind w:firstLine="640"/>
        <w:outlineLvl w:val="1"/>
        <w:rPr>
          <w:rFonts w:ascii="Times New Roman" w:eastAsia="楷体_GB2312"/>
          <w:bCs/>
          <w:szCs w:val="32"/>
        </w:rPr>
      </w:pPr>
      <w:r>
        <w:rPr>
          <w:rFonts w:ascii="Times New Roman" w:eastAsia="楷体_GB2312"/>
          <w:bCs/>
          <w:szCs w:val="32"/>
        </w:rPr>
        <w:t>（二）创新企业融通行动</w:t>
      </w:r>
    </w:p>
    <w:p>
      <w:pPr>
        <w:spacing w:line="560" w:lineRule="exact"/>
        <w:ind w:firstLine="643" w:firstLineChars="200"/>
        <w:outlineLvl w:val="2"/>
        <w:rPr>
          <w:rFonts w:ascii="Times New Roman" w:eastAsia="仿宋_GB2312"/>
          <w:b/>
          <w:szCs w:val="32"/>
        </w:rPr>
      </w:pPr>
      <w:r>
        <w:rPr>
          <w:rFonts w:ascii="Times New Roman" w:eastAsia="仿宋_GB2312"/>
          <w:b/>
          <w:szCs w:val="32"/>
        </w:rPr>
        <w:t>1</w:t>
      </w:r>
      <w:r>
        <w:rPr>
          <w:rFonts w:ascii="Times New Roman" w:eastAsia="黑体"/>
          <w:b/>
          <w:szCs w:val="32"/>
        </w:rPr>
        <w:t xml:space="preserve">. </w:t>
      </w:r>
      <w:r>
        <w:rPr>
          <w:rFonts w:ascii="Times New Roman" w:eastAsia="仿宋_GB2312"/>
          <w:b/>
          <w:szCs w:val="32"/>
        </w:rPr>
        <w:t>壮大科技型中小企业</w:t>
      </w:r>
    </w:p>
    <w:p>
      <w:pPr>
        <w:spacing w:line="560" w:lineRule="exact"/>
        <w:ind w:firstLine="640" w:firstLineChars="200"/>
        <w:rPr>
          <w:rFonts w:ascii="Times New Roman" w:eastAsia="仿宋_GB2312"/>
          <w:szCs w:val="32"/>
        </w:rPr>
      </w:pPr>
      <w:r>
        <w:rPr>
          <w:rFonts w:ascii="Times New Roman" w:eastAsia="仿宋_GB2312"/>
          <w:szCs w:val="32"/>
        </w:rPr>
        <w:t xml:space="preserve">建立太仓生物医药“高成长性企业”目录，支持和引导中小企业发展壮大，对科技型中小企业、高新技术企业、已获私募投资或高估值企业给予支持。采用创新券等工具，推动科研和创新资源向中小企业开放共享。到2025年，入库科技型中小企业和高企数达300家。 </w:t>
      </w:r>
    </w:p>
    <w:p>
      <w:pPr>
        <w:numPr>
          <w:ilvl w:val="0"/>
          <w:numId w:val="2"/>
        </w:numPr>
        <w:spacing w:line="560" w:lineRule="exact"/>
        <w:ind w:firstLine="643" w:firstLineChars="200"/>
        <w:outlineLvl w:val="2"/>
        <w:rPr>
          <w:rFonts w:ascii="Times New Roman" w:eastAsia="仿宋_GB2312"/>
          <w:b/>
          <w:szCs w:val="32"/>
        </w:rPr>
      </w:pPr>
      <w:r>
        <w:rPr>
          <w:rFonts w:ascii="Times New Roman" w:eastAsia="仿宋_GB2312"/>
          <w:b/>
          <w:szCs w:val="32"/>
        </w:rPr>
        <w:t>引育创新型领军企业</w:t>
      </w:r>
    </w:p>
    <w:p>
      <w:pPr>
        <w:spacing w:line="560" w:lineRule="exact"/>
        <w:ind w:firstLine="640" w:firstLineChars="200"/>
        <w:rPr>
          <w:rFonts w:ascii="Times New Roman" w:eastAsia="仿宋_GB2312"/>
          <w:szCs w:val="32"/>
        </w:rPr>
      </w:pPr>
      <w:r>
        <w:rPr>
          <w:rFonts w:ascii="Times New Roman" w:eastAsia="仿宋_GB2312"/>
          <w:szCs w:val="32"/>
        </w:rPr>
        <w:t>加大招引世界500强、国内行业前50强、细分领域前10强企业及产业链关键配套企业在太仓设立总部、研发中心或制造平台，对突破性、带动性和引领性项目给予“一事一议”支持。每年滚动筛选约10家重点培育企业，对于获得国家“单项冠军”示范企业、国家专精特新“小巨人”企业、省小巨人企业、苏州市“独角兽”企业等市级以上荣誉称号的企业加以重点资助。到2025年，累计认定江苏省潜在“独角兽”企业、苏州市“独角兽”培育企业20家，省级以上专精特新“小巨人”企业12家。支持领军企业牵头建设省级以上工程技术研究中心、企业中心或大学生创新实践基地。建立拟上市企业清单，支持优质企业上市。</w:t>
      </w:r>
    </w:p>
    <w:p>
      <w:pPr>
        <w:numPr>
          <w:ilvl w:val="0"/>
          <w:numId w:val="2"/>
        </w:numPr>
        <w:spacing w:line="560" w:lineRule="exact"/>
        <w:ind w:firstLine="643" w:firstLineChars="200"/>
        <w:outlineLvl w:val="2"/>
        <w:rPr>
          <w:rFonts w:ascii="Times New Roman" w:eastAsia="仿宋_GB2312"/>
          <w:b/>
          <w:szCs w:val="32"/>
        </w:rPr>
      </w:pPr>
      <w:r>
        <w:rPr>
          <w:rFonts w:ascii="Times New Roman" w:eastAsia="仿宋_GB2312"/>
          <w:b/>
          <w:szCs w:val="32"/>
        </w:rPr>
        <w:t>组建产业技术创新联盟</w:t>
      </w:r>
    </w:p>
    <w:p>
      <w:pPr>
        <w:spacing w:line="560" w:lineRule="exact"/>
        <w:ind w:firstLine="640" w:firstLineChars="200"/>
        <w:rPr>
          <w:rFonts w:ascii="Times New Roman" w:eastAsia="仿宋_GB2312"/>
          <w:szCs w:val="32"/>
        </w:rPr>
      </w:pPr>
      <w:r>
        <w:rPr>
          <w:rFonts w:ascii="Times New Roman" w:eastAsia="仿宋_GB2312"/>
          <w:szCs w:val="32"/>
        </w:rPr>
        <w:t>鼓励细分领域领军企业牵头，高校、科研院所参与组建产业技术创新联盟，推动知识共享、协同创新、标准研制和产业配套。到2025年，创新药物、医疗器械、生产研发外包三大主导产业分别建成1个以上创新资源广泛链接的产业创新联盟。</w:t>
      </w:r>
    </w:p>
    <w:p>
      <w:pPr>
        <w:pStyle w:val="6"/>
        <w:spacing w:line="560" w:lineRule="exact"/>
        <w:ind w:firstLine="640"/>
        <w:outlineLvl w:val="1"/>
        <w:rPr>
          <w:rFonts w:ascii="Times New Roman" w:eastAsia="楷体_GB2312"/>
          <w:bCs/>
          <w:szCs w:val="32"/>
        </w:rPr>
      </w:pPr>
      <w:r>
        <w:rPr>
          <w:rFonts w:ascii="Times New Roman" w:eastAsia="楷体_GB2312"/>
          <w:bCs/>
          <w:szCs w:val="32"/>
        </w:rPr>
        <w:t>（三）创新能力提升行动</w:t>
      </w:r>
    </w:p>
    <w:p>
      <w:pPr>
        <w:pStyle w:val="6"/>
        <w:numPr>
          <w:ilvl w:val="0"/>
          <w:numId w:val="3"/>
        </w:numPr>
        <w:spacing w:line="560" w:lineRule="exact"/>
        <w:ind w:firstLineChars="0"/>
        <w:outlineLvl w:val="2"/>
        <w:rPr>
          <w:rFonts w:ascii="Times New Roman" w:eastAsia="仿宋_GB2312"/>
          <w:b/>
          <w:szCs w:val="32"/>
        </w:rPr>
      </w:pPr>
      <w:r>
        <w:rPr>
          <w:rFonts w:ascii="Times New Roman" w:eastAsia="仿宋_GB2312"/>
          <w:b/>
          <w:szCs w:val="32"/>
        </w:rPr>
        <w:t>加强核心技术攻关</w:t>
      </w:r>
    </w:p>
    <w:p>
      <w:pPr>
        <w:spacing w:line="560" w:lineRule="exact"/>
        <w:ind w:firstLine="640" w:firstLineChars="200"/>
        <w:rPr>
          <w:rFonts w:ascii="Times New Roman" w:eastAsia="仿宋_GB2312"/>
          <w:szCs w:val="32"/>
        </w:rPr>
      </w:pPr>
      <w:r>
        <w:rPr>
          <w:rFonts w:ascii="Times New Roman" w:eastAsia="仿宋_GB2312"/>
          <w:szCs w:val="32"/>
        </w:rPr>
        <w:t>围绕创新药、高端医疗器械、前沿生物技术等领域，定期梳理生物医药产业发展急需的核心技术、关键技术和共性技术清单，探索采用“揭榜挂帅制”重点攻坚一批关键技术和产品，根据不同研发进度分期加以资助。鼓励企业、高校、科研院所积极争取国家重大新药创制、高端医疗器械和前沿生物技术等领域国家重点研发计划以及省重点研发计划，对承担国家科技重大专项、国家重点研发计划的项目给予资助，加大对市级核心技术攻关项目和产业链上下游联合攻关项目支持力度。</w:t>
      </w:r>
    </w:p>
    <w:p>
      <w:pPr>
        <w:pStyle w:val="6"/>
        <w:numPr>
          <w:ilvl w:val="0"/>
          <w:numId w:val="3"/>
        </w:numPr>
        <w:spacing w:line="560" w:lineRule="exact"/>
        <w:ind w:firstLineChars="0"/>
        <w:outlineLvl w:val="2"/>
        <w:rPr>
          <w:rFonts w:ascii="Times New Roman" w:eastAsia="仿宋_GB2312"/>
          <w:b/>
          <w:szCs w:val="32"/>
        </w:rPr>
      </w:pPr>
      <w:r>
        <w:rPr>
          <w:rFonts w:ascii="Times New Roman" w:eastAsia="仿宋_GB2312"/>
          <w:b/>
          <w:szCs w:val="32"/>
        </w:rPr>
        <w:t>支持创新药和器械研发及产业化</w:t>
      </w:r>
    </w:p>
    <w:p>
      <w:pPr>
        <w:spacing w:line="560" w:lineRule="exact"/>
        <w:ind w:firstLine="640" w:firstLineChars="200"/>
        <w:rPr>
          <w:rFonts w:ascii="Times New Roman" w:eastAsia="仿宋_GB2312"/>
          <w:szCs w:val="32"/>
        </w:rPr>
      </w:pPr>
      <w:r>
        <w:rPr>
          <w:rFonts w:ascii="Times New Roman" w:eastAsia="仿宋_GB2312"/>
          <w:szCs w:val="32"/>
        </w:rPr>
        <w:t>对在国内开展并在本市转化的一类创新药、二类改良型新药，按临床试验I、Ⅱ、Ⅲ期不同阶段择优给予支持；对获批二、三类医疗器械注册产品证，且具有自主知识产权的产品给予支持；对进入国家创新医疗器械特别审查程序且在太仓转化的产品择优给予支持；对在全国前三个通过一致性评价的药品给予支持。</w:t>
      </w:r>
    </w:p>
    <w:p>
      <w:pPr>
        <w:pStyle w:val="6"/>
        <w:numPr>
          <w:ilvl w:val="0"/>
          <w:numId w:val="3"/>
        </w:numPr>
        <w:spacing w:line="560" w:lineRule="exact"/>
        <w:ind w:firstLineChars="0"/>
        <w:outlineLvl w:val="2"/>
        <w:rPr>
          <w:rFonts w:ascii="Times New Roman" w:eastAsia="仿宋_GB2312"/>
          <w:b/>
          <w:szCs w:val="32"/>
        </w:rPr>
      </w:pPr>
      <w:r>
        <w:rPr>
          <w:rFonts w:ascii="Times New Roman" w:eastAsia="仿宋_GB2312"/>
          <w:b/>
          <w:szCs w:val="32"/>
        </w:rPr>
        <w:t>推动重大创新平台建设</w:t>
      </w:r>
    </w:p>
    <w:p>
      <w:pPr>
        <w:spacing w:line="560" w:lineRule="exact"/>
        <w:ind w:firstLine="640" w:firstLineChars="200"/>
        <w:rPr>
          <w:rFonts w:ascii="Times New Roman" w:eastAsia="仿宋_GB2312"/>
          <w:szCs w:val="32"/>
        </w:rPr>
      </w:pPr>
      <w:r>
        <w:rPr>
          <w:rFonts w:ascii="Times New Roman" w:eastAsia="仿宋_GB2312"/>
          <w:szCs w:val="32"/>
        </w:rPr>
        <w:t>支持西北工业大学太仓校区、西交利物浦大学太仓校区、江苏先进无机材料研究院、西北工业大学太仓长三角研究院等建设生物医药相关的学院或新型研发机构，培育3-5个学科交叉的团队，力争建成1-2个省级重点实验室或工程技术中心。支持国内外高校和科研机构在太仓建立新型研发机构，加快苏州市产业技术研究院临床药理技术研究所、苏州思萃免疫技术研究所、苏州润洲康复技术研究院等创新平台的建设进度，为生物医药创新产业培育提供新动能。</w:t>
      </w:r>
    </w:p>
    <w:p>
      <w:pPr>
        <w:pStyle w:val="6"/>
        <w:numPr>
          <w:ilvl w:val="0"/>
          <w:numId w:val="3"/>
        </w:numPr>
        <w:spacing w:line="560" w:lineRule="exact"/>
        <w:ind w:firstLineChars="0"/>
        <w:outlineLvl w:val="2"/>
        <w:rPr>
          <w:rFonts w:ascii="Times New Roman" w:eastAsia="仿宋_GB2312"/>
          <w:b/>
          <w:szCs w:val="32"/>
        </w:rPr>
      </w:pPr>
      <w:r>
        <w:rPr>
          <w:rFonts w:ascii="Times New Roman" w:eastAsia="仿宋_GB2312"/>
          <w:b/>
          <w:szCs w:val="32"/>
        </w:rPr>
        <w:t>推动创新转化平台与孵化器建设</w:t>
      </w:r>
    </w:p>
    <w:p>
      <w:pPr>
        <w:spacing w:line="560" w:lineRule="exact"/>
        <w:ind w:firstLine="640" w:firstLineChars="200"/>
        <w:rPr>
          <w:rFonts w:ascii="Times New Roman" w:eastAsia="仿宋_GB2312"/>
          <w:szCs w:val="32"/>
        </w:rPr>
      </w:pPr>
      <w:r>
        <w:rPr>
          <w:rFonts w:ascii="Times New Roman" w:eastAsia="仿宋_GB2312"/>
          <w:szCs w:val="32"/>
        </w:rPr>
        <w:t>建设产业园区创新转化平台，根据太仓市生物医药产业园、太仓生物港、中德（太仓）生命健康产业园等园区的实际需求建立成果转化和自主创业的平台。建设高水平孵化器，支持建设开放式创新中心，推动园区或企业牵头高水平孵化器，强化运营模式与服务能力，为初创企业提供优质技术配套资源。</w:t>
      </w:r>
    </w:p>
    <w:p>
      <w:pPr>
        <w:pStyle w:val="6"/>
        <w:spacing w:line="560" w:lineRule="exact"/>
        <w:ind w:firstLine="640"/>
        <w:outlineLvl w:val="1"/>
        <w:rPr>
          <w:rFonts w:ascii="Times New Roman" w:eastAsia="楷体_GB2312"/>
          <w:bCs/>
          <w:szCs w:val="32"/>
        </w:rPr>
      </w:pPr>
      <w:r>
        <w:rPr>
          <w:rFonts w:ascii="Times New Roman" w:eastAsia="楷体_GB2312"/>
          <w:bCs/>
          <w:szCs w:val="32"/>
        </w:rPr>
        <w:t>（四）优质人才集聚行动</w:t>
      </w:r>
    </w:p>
    <w:p>
      <w:pPr>
        <w:spacing w:line="560" w:lineRule="exact"/>
        <w:outlineLvl w:val="2"/>
        <w:rPr>
          <w:rFonts w:ascii="Times New Roman" w:eastAsia="仿宋_GB2312"/>
          <w:b/>
          <w:szCs w:val="32"/>
        </w:rPr>
      </w:pPr>
      <w:r>
        <w:rPr>
          <w:rFonts w:ascii="Times New Roman" w:eastAsia="仿宋_GB2312"/>
          <w:b/>
          <w:szCs w:val="32"/>
        </w:rPr>
        <w:t>1</w:t>
      </w:r>
      <w:r>
        <w:rPr>
          <w:rFonts w:ascii="Times New Roman" w:eastAsia="黑体"/>
          <w:b/>
          <w:szCs w:val="32"/>
        </w:rPr>
        <w:t xml:space="preserve">. </w:t>
      </w:r>
      <w:r>
        <w:rPr>
          <w:rFonts w:ascii="Times New Roman" w:eastAsia="仿宋_GB2312"/>
          <w:b/>
          <w:szCs w:val="32"/>
        </w:rPr>
        <w:t>集聚科技顶尖专家</w:t>
      </w:r>
    </w:p>
    <w:p>
      <w:pPr>
        <w:spacing w:line="560" w:lineRule="exact"/>
        <w:ind w:firstLineChars="200"/>
        <w:rPr>
          <w:rFonts w:ascii="Times New Roman" w:eastAsia="仿宋_GB2312"/>
          <w:spacing w:val="-4"/>
          <w:szCs w:val="32"/>
        </w:rPr>
      </w:pPr>
      <w:r>
        <w:rPr>
          <w:rFonts w:ascii="Times New Roman" w:eastAsia="仿宋_GB2312"/>
          <w:spacing w:val="-4"/>
          <w:szCs w:val="32"/>
        </w:rPr>
        <w:t>重点围绕抗体药物、基因治疗、细胞治疗、体外诊断、医疗机器人、植介入医疗器械等重点领域，为相关科学家设立工作室，实行首席科学家负责制。对引领性、原创性、标志性顶尖人才团队给予最高1亿元支持，着力推动科研成果转化落地。</w:t>
      </w:r>
    </w:p>
    <w:p>
      <w:pPr>
        <w:numPr>
          <w:ilvl w:val="0"/>
          <w:numId w:val="4"/>
        </w:numPr>
        <w:spacing w:line="560" w:lineRule="exact"/>
        <w:ind w:firstLine="643" w:firstLineChars="200"/>
        <w:outlineLvl w:val="2"/>
        <w:rPr>
          <w:rFonts w:ascii="Times New Roman" w:eastAsia="仿宋_GB2312"/>
          <w:b/>
          <w:szCs w:val="32"/>
        </w:rPr>
      </w:pPr>
      <w:r>
        <w:rPr>
          <w:rFonts w:ascii="Times New Roman" w:eastAsia="仿宋_GB2312"/>
          <w:b/>
          <w:szCs w:val="32"/>
        </w:rPr>
        <w:t>引育双创领军人才</w:t>
      </w:r>
    </w:p>
    <w:p>
      <w:pPr>
        <w:spacing w:line="560" w:lineRule="exact"/>
        <w:ind w:firstLineChars="200"/>
        <w:rPr>
          <w:rFonts w:ascii="Times New Roman" w:eastAsia="仿宋_GB2312"/>
          <w:spacing w:val="-4"/>
          <w:szCs w:val="32"/>
        </w:rPr>
      </w:pPr>
      <w:r>
        <w:rPr>
          <w:rFonts w:ascii="Times New Roman" w:eastAsia="仿宋_GB2312"/>
          <w:spacing w:val="-4"/>
          <w:szCs w:val="32"/>
        </w:rPr>
        <w:t>鼓励生物医药领域的人才（团队）对上申报各类人才计划，对入选苏州市级以上领军人才和团队项目的，给予项目经费、安家补贴、金融扶持等全方位综合支持。到2025年，新增国家级人才2人，苏州市级以上领军人才50人，太仓科技领军人才100人。</w:t>
      </w:r>
    </w:p>
    <w:p>
      <w:pPr>
        <w:numPr>
          <w:ilvl w:val="0"/>
          <w:numId w:val="4"/>
        </w:numPr>
        <w:spacing w:line="560" w:lineRule="exact"/>
        <w:ind w:firstLine="643" w:firstLineChars="200"/>
        <w:outlineLvl w:val="2"/>
        <w:rPr>
          <w:rFonts w:ascii="Times New Roman" w:eastAsia="仿宋_GB2312"/>
          <w:b/>
          <w:szCs w:val="32"/>
        </w:rPr>
      </w:pPr>
      <w:r>
        <w:rPr>
          <w:rFonts w:ascii="Times New Roman" w:eastAsia="仿宋_GB2312"/>
          <w:b/>
          <w:szCs w:val="32"/>
        </w:rPr>
        <w:t>加快集聚产业支撑人才</w:t>
      </w:r>
    </w:p>
    <w:p>
      <w:pPr>
        <w:spacing w:line="560" w:lineRule="exact"/>
        <w:ind w:firstLineChars="200"/>
        <w:rPr>
          <w:rFonts w:ascii="Times New Roman" w:eastAsia="仿宋_GB2312"/>
          <w:spacing w:val="-4"/>
          <w:szCs w:val="32"/>
        </w:rPr>
      </w:pPr>
      <w:r>
        <w:rPr>
          <w:rFonts w:ascii="Times New Roman" w:eastAsia="仿宋_GB2312"/>
          <w:spacing w:val="-4"/>
          <w:szCs w:val="32"/>
        </w:rPr>
        <w:t>推进医教协同、产教融合，创新校企合作人才培养模式，加大高校及职业院校相关学科专业建设力度，支持高校、科研院所、医疗机构与企业建设产教融合、高技能人才两类公共实训基地。支持企业设立博士后工作站，与高校院所联合培养博士后，形成梯度化专业人才队伍。</w:t>
      </w:r>
    </w:p>
    <w:p>
      <w:pPr>
        <w:pStyle w:val="6"/>
        <w:spacing w:line="560" w:lineRule="exact"/>
        <w:ind w:firstLine="640"/>
        <w:outlineLvl w:val="1"/>
        <w:rPr>
          <w:rFonts w:ascii="Times New Roman" w:eastAsia="楷体_GB2312"/>
          <w:bCs/>
          <w:szCs w:val="32"/>
        </w:rPr>
      </w:pPr>
      <w:r>
        <w:rPr>
          <w:rFonts w:ascii="Times New Roman" w:eastAsia="楷体_GB2312"/>
          <w:bCs/>
          <w:szCs w:val="32"/>
        </w:rPr>
        <w:t>（五）创新生态打造行动</w:t>
      </w:r>
    </w:p>
    <w:p>
      <w:pPr>
        <w:spacing w:line="560" w:lineRule="exact"/>
        <w:ind w:firstLine="643" w:firstLineChars="200"/>
        <w:outlineLvl w:val="2"/>
        <w:rPr>
          <w:rFonts w:ascii="Times New Roman" w:eastAsia="仿宋_GB2312"/>
          <w:b/>
          <w:szCs w:val="32"/>
        </w:rPr>
      </w:pPr>
      <w:r>
        <w:rPr>
          <w:rFonts w:ascii="Times New Roman" w:eastAsia="仿宋_GB2312"/>
          <w:b/>
          <w:szCs w:val="32"/>
        </w:rPr>
        <w:t>1</w:t>
      </w:r>
      <w:r>
        <w:rPr>
          <w:rFonts w:ascii="Times New Roman" w:eastAsia="黑体"/>
          <w:b/>
          <w:szCs w:val="32"/>
        </w:rPr>
        <w:t xml:space="preserve">. </w:t>
      </w:r>
      <w:r>
        <w:rPr>
          <w:rFonts w:ascii="Times New Roman" w:eastAsia="仿宋_GB2312"/>
          <w:b/>
          <w:szCs w:val="32"/>
        </w:rPr>
        <w:t>优化创新网络布局</w:t>
      </w:r>
    </w:p>
    <w:p>
      <w:pPr>
        <w:spacing w:line="560" w:lineRule="exact"/>
        <w:ind w:firstLineChars="200"/>
        <w:rPr>
          <w:rFonts w:ascii="Times New Roman" w:eastAsia="仿宋_GB2312"/>
          <w:spacing w:val="-4"/>
          <w:szCs w:val="32"/>
        </w:rPr>
      </w:pPr>
      <w:r>
        <w:rPr>
          <w:rFonts w:ascii="Times New Roman" w:eastAsia="仿宋_GB2312"/>
          <w:spacing w:val="-4"/>
          <w:szCs w:val="32"/>
        </w:rPr>
        <w:t>重点发展太仓市生物医药产业园、太仓生物港、中德（太仓）生命健康产业园三大重点园区。</w:t>
      </w:r>
      <w:r>
        <w:rPr>
          <w:rFonts w:ascii="Times New Roman" w:eastAsia="仿宋_GB2312"/>
          <w:szCs w:val="32"/>
        </w:rPr>
        <w:t>生物医药产业园</w:t>
      </w:r>
      <w:r>
        <w:rPr>
          <w:rFonts w:ascii="Times New Roman" w:eastAsia="仿宋_GB2312"/>
          <w:szCs w:val="32"/>
          <w:lang w:val="zh-TW"/>
        </w:rPr>
        <w:t>重点打造</w:t>
      </w:r>
      <w:r>
        <w:rPr>
          <w:rFonts w:ascii="Times New Roman" w:eastAsia="仿宋_GB2312"/>
          <w:spacing w:val="-4"/>
          <w:szCs w:val="32"/>
        </w:rPr>
        <w:t>医药合同服务外包、医疗器械、生物制药三大产业</w:t>
      </w:r>
      <w:r>
        <w:rPr>
          <w:rFonts w:ascii="Times New Roman" w:eastAsia="仿宋_GB2312"/>
          <w:szCs w:val="32"/>
          <w:lang w:val="zh-TW"/>
        </w:rPr>
        <w:t>。太仓生物港主攻体外诊断、医学影像、创新药、再生医学材料</w:t>
      </w:r>
      <w:r>
        <w:rPr>
          <w:rFonts w:ascii="Times New Roman" w:eastAsia="仿宋_GB2312"/>
          <w:spacing w:val="-4"/>
          <w:szCs w:val="32"/>
        </w:rPr>
        <w:t>。中德（太仓）生命健康产</w:t>
      </w:r>
      <w:r>
        <w:rPr>
          <w:rFonts w:ascii="Times New Roman" w:eastAsia="仿宋_GB2312"/>
          <w:szCs w:val="32"/>
          <w:lang w:val="zh-TW"/>
        </w:rPr>
        <w:t>业园重点发展创新药物、体外诊断、医疗器械、精准医疗等细分领域。</w:t>
      </w:r>
      <w:r>
        <w:rPr>
          <w:rFonts w:ascii="Times New Roman" w:eastAsia="仿宋_GB2312"/>
          <w:spacing w:val="-4"/>
          <w:szCs w:val="32"/>
        </w:rPr>
        <w:t>强化园区协同，促进园区围绕龙头企业延伸产业链，探索重点产业领域“龙头引领+多点布局”新路径、新模式，形成重大产业化项目联动协调机制。</w:t>
      </w:r>
    </w:p>
    <w:p>
      <w:pPr>
        <w:spacing w:line="560" w:lineRule="exact"/>
        <w:ind w:firstLineChars="200"/>
        <w:rPr>
          <w:rFonts w:ascii="Times New Roman" w:eastAsia="仿宋_GB2312"/>
          <w:spacing w:val="-4"/>
          <w:szCs w:val="32"/>
        </w:rPr>
      </w:pPr>
      <w:r>
        <w:rPr>
          <w:rFonts w:ascii="Times New Roman" w:eastAsia="仿宋_GB2312"/>
          <w:spacing w:val="-4"/>
          <w:szCs w:val="32"/>
        </w:rPr>
        <w:t>基于苏州“1+N”产业发展格局，强化太仓在医药生产与研发外包服务中的独特优势，打造特色名片，聚焦CRO、CDMO服务积极承接苏州的生产与研发外包项目，引导外包产业集聚。积极对接苏州大学、中国医学科学院苏州系统医学研究所、中科院纳米所、中科院医工所等的成果转化需求，鼓励优秀项目或成果在太仓转化落地。</w:t>
      </w:r>
    </w:p>
    <w:p>
      <w:pPr>
        <w:spacing w:line="560" w:lineRule="exact"/>
        <w:ind w:firstLineChars="200"/>
        <w:rPr>
          <w:rFonts w:ascii="Times New Roman" w:eastAsia="仿宋_GB2312"/>
          <w:spacing w:val="-4"/>
          <w:szCs w:val="32"/>
        </w:rPr>
      </w:pPr>
      <w:r>
        <w:rPr>
          <w:rFonts w:ascii="Times New Roman" w:eastAsia="仿宋_GB2312"/>
          <w:spacing w:val="-4"/>
          <w:szCs w:val="32"/>
        </w:rPr>
        <w:t>鼓励企业参与建设“长三角生物医药联盟”，实现与长三角其他地区在高技术企业与成果资质互认制度、公共资源交易平台互联共享、知识产权初始分配与跨省交易制度等方面的衔接。深化与长三角地区的重点高校、科研机构的多层次合作，强化沪太科技创新协同合作，探索协同创新模式，构建与上海协同配套、互为促进的产业、研发和人才引育体系，打造上海科创产业的重要配套区域。</w:t>
      </w:r>
    </w:p>
    <w:p>
      <w:pPr>
        <w:numPr>
          <w:ilvl w:val="0"/>
          <w:numId w:val="5"/>
        </w:numPr>
        <w:spacing w:line="560" w:lineRule="exact"/>
        <w:ind w:firstLine="643" w:firstLineChars="200"/>
        <w:outlineLvl w:val="2"/>
        <w:rPr>
          <w:rFonts w:ascii="Times New Roman" w:eastAsia="仿宋_GB2312"/>
          <w:b/>
          <w:szCs w:val="32"/>
        </w:rPr>
      </w:pPr>
      <w:r>
        <w:rPr>
          <w:rFonts w:ascii="Times New Roman" w:eastAsia="仿宋_GB2312"/>
          <w:b/>
          <w:szCs w:val="32"/>
        </w:rPr>
        <w:t>打造创业活动品牌</w:t>
      </w:r>
    </w:p>
    <w:p>
      <w:pPr>
        <w:spacing w:line="560" w:lineRule="exact"/>
        <w:ind w:firstLineChars="200"/>
        <w:rPr>
          <w:rFonts w:ascii="Times New Roman" w:eastAsia="仿宋_GB2312"/>
          <w:spacing w:val="-4"/>
          <w:szCs w:val="32"/>
        </w:rPr>
      </w:pPr>
      <w:r>
        <w:rPr>
          <w:rFonts w:ascii="Times New Roman" w:eastAsia="仿宋_GB2312"/>
          <w:spacing w:val="-4"/>
          <w:szCs w:val="32"/>
        </w:rPr>
        <w:t>打造T-MAX科创品牌，定期开展活动，共同研论行业动向和发展方向。开展生物医药专业培训班，邀请政策、技术、投资、知识产权、法律等方面的专家为企业提供多维度的培训与分享。开展主题路演活动，邀请国内外投资机构参与主题路演，加速企业融资。举办科创太仓全球创新创业大赛生物医药及医疗器械专场活动，以及生物医药产业科技金融服务直通车专项活动，吸纳优质创新资源，助力潜力项目落地发展。</w:t>
      </w:r>
    </w:p>
    <w:p>
      <w:pPr>
        <w:spacing w:line="560" w:lineRule="exact"/>
        <w:ind w:firstLineChars="200"/>
        <w:rPr>
          <w:rFonts w:ascii="Times New Roman" w:eastAsia="仿宋_GB2312"/>
          <w:spacing w:val="-4"/>
          <w:szCs w:val="32"/>
        </w:rPr>
      </w:pPr>
      <w:r>
        <w:rPr>
          <w:rFonts w:ascii="Times New Roman" w:eastAsia="仿宋_GB2312"/>
          <w:spacing w:val="-4"/>
          <w:szCs w:val="32"/>
        </w:rPr>
        <w:t>搭建地区间创新网络，组织企业参加苏州工业园区、张江高科技园区等长三角生物医药园区的创业交流平台，促进企业交流，推动企业合作。与Labcentral、Cambridge Innovation Center等国外顶尖生物医药领域的企业孵化器达成战略伙伴关系，引入国外孵化器优秀的孵化人才与孵化体系，并建立合作渠道，引进国际优秀项目在太仓落地。</w:t>
      </w:r>
    </w:p>
    <w:p>
      <w:pPr>
        <w:spacing w:line="560" w:lineRule="exact"/>
        <w:ind w:firstLine="643" w:firstLineChars="200"/>
        <w:outlineLvl w:val="2"/>
        <w:rPr>
          <w:rFonts w:ascii="Times New Roman" w:eastAsia="仿宋_GB2312"/>
          <w:b/>
          <w:szCs w:val="32"/>
        </w:rPr>
      </w:pPr>
      <w:r>
        <w:rPr>
          <w:rFonts w:ascii="Times New Roman" w:eastAsia="仿宋_GB2312"/>
          <w:b/>
          <w:szCs w:val="32"/>
        </w:rPr>
        <w:t>3</w:t>
      </w:r>
      <w:r>
        <w:rPr>
          <w:rFonts w:ascii="Times New Roman" w:eastAsia="黑体"/>
          <w:b/>
          <w:szCs w:val="32"/>
        </w:rPr>
        <w:t xml:space="preserve">. </w:t>
      </w:r>
      <w:r>
        <w:rPr>
          <w:rFonts w:ascii="Times New Roman" w:eastAsia="仿宋_GB2312"/>
          <w:b/>
          <w:szCs w:val="32"/>
        </w:rPr>
        <w:t>推动数字信息赋能</w:t>
      </w:r>
    </w:p>
    <w:p>
      <w:pPr>
        <w:spacing w:line="560" w:lineRule="exact"/>
        <w:ind w:firstLineChars="200"/>
        <w:rPr>
          <w:rFonts w:ascii="Times New Roman" w:eastAsia="仿宋_GB2312"/>
          <w:spacing w:val="-4"/>
          <w:szCs w:val="32"/>
        </w:rPr>
      </w:pPr>
      <w:r>
        <w:rPr>
          <w:rFonts w:ascii="Times New Roman" w:eastAsia="仿宋_GB2312"/>
          <w:spacing w:val="-4"/>
          <w:szCs w:val="32"/>
        </w:rPr>
        <w:t>建立生物医药大数据服务平台，形成面向企业的药物临床、药物上市、产业政策、知识产权的咨询服务机制。建设多园区“一站式”互动信息平台，推动入驻企业、园区创业活动、园区专家资源、园区设备与实验室资源、园区会议室等办公资源、周边实验室等设备资源、周边临床资源、周边人才资源、周边技术、商业、法律服务资源等方面的互动，为智慧园区的打造提供支撑。选择1-2家龙头企业建立智能生物制造示范中心，通过大数据、5G、人工智能、区块链等数字技术在研发设计、生产制造、物流仓储、商业流通等各个环节实施数字化改造，切实提升企业的研发效率与生产水平。</w:t>
      </w:r>
    </w:p>
    <w:p>
      <w:pPr>
        <w:spacing w:line="560" w:lineRule="exact"/>
        <w:ind w:firstLine="643" w:firstLineChars="200"/>
        <w:outlineLvl w:val="2"/>
        <w:rPr>
          <w:rFonts w:ascii="Times New Roman" w:eastAsia="仿宋_GB2312"/>
          <w:b/>
          <w:szCs w:val="32"/>
        </w:rPr>
      </w:pPr>
      <w:r>
        <w:rPr>
          <w:rFonts w:ascii="Times New Roman" w:eastAsia="仿宋_GB2312"/>
          <w:b/>
          <w:szCs w:val="32"/>
        </w:rPr>
        <w:t>4</w:t>
      </w:r>
      <w:r>
        <w:rPr>
          <w:rFonts w:ascii="Times New Roman" w:eastAsia="黑体"/>
          <w:b/>
          <w:szCs w:val="32"/>
        </w:rPr>
        <w:t xml:space="preserve">. </w:t>
      </w:r>
      <w:r>
        <w:rPr>
          <w:rFonts w:ascii="Times New Roman" w:eastAsia="仿宋_GB2312"/>
          <w:b/>
          <w:szCs w:val="32"/>
        </w:rPr>
        <w:t>激活创业投资融资</w:t>
      </w:r>
    </w:p>
    <w:p>
      <w:pPr>
        <w:spacing w:line="560" w:lineRule="exact"/>
        <w:ind w:firstLine="708" w:firstLineChars="227"/>
        <w:rPr>
          <w:rFonts w:ascii="Times New Roman" w:eastAsia="仿宋_GB2312"/>
          <w:spacing w:val="-4"/>
          <w:szCs w:val="32"/>
        </w:rPr>
      </w:pPr>
      <w:r>
        <w:rPr>
          <w:rFonts w:ascii="Times New Roman" w:eastAsia="仿宋_GB2312"/>
          <w:spacing w:val="-4"/>
          <w:szCs w:val="32"/>
        </w:rPr>
        <w:t>持续完善金融资本服务体系，充分运用超60亿元产业引导基金和科技人才培育基金、超20亿元生物医药类科创基金，支持企业通过资本市场做强做大。鼓励风险投资机构引进优秀医疗器械及生物医药企业或项目落户太仓。对于在中国证券投资基金业协会完成私募基金管理人登记的项目，按机构对该企业的实际投资额给予奖励。由太仓市“娄城贷”贷款资金池为符合条件的生物医药企业提供贷款增信服务，鼓励合作银行加大对生物医药企业的支持力度。引导企业通过投贷联动、融资租赁、知识产权质押、知识产权证券化等创新型金融方式开展融资，支持银行等金融机构加大对生物医药企业的信贷投放力度。</w:t>
      </w:r>
    </w:p>
    <w:p>
      <w:pPr>
        <w:spacing w:line="560" w:lineRule="exact"/>
        <w:ind w:firstLine="643" w:firstLineChars="200"/>
        <w:outlineLvl w:val="2"/>
        <w:rPr>
          <w:rFonts w:ascii="Times New Roman" w:eastAsia="仿宋_GB2312"/>
          <w:b/>
          <w:szCs w:val="32"/>
        </w:rPr>
      </w:pPr>
      <w:r>
        <w:rPr>
          <w:rFonts w:ascii="Times New Roman" w:eastAsia="仿宋_GB2312"/>
          <w:b/>
          <w:szCs w:val="32"/>
        </w:rPr>
        <w:t>5</w:t>
      </w:r>
      <w:r>
        <w:rPr>
          <w:rFonts w:ascii="Times New Roman" w:eastAsia="黑体"/>
          <w:b/>
          <w:szCs w:val="32"/>
        </w:rPr>
        <w:t xml:space="preserve">. </w:t>
      </w:r>
      <w:r>
        <w:rPr>
          <w:rFonts w:ascii="Times New Roman" w:eastAsia="仿宋_GB2312"/>
          <w:b/>
          <w:szCs w:val="32"/>
        </w:rPr>
        <w:t>强化知识产权服务</w:t>
      </w:r>
    </w:p>
    <w:p>
      <w:pPr>
        <w:spacing w:line="560" w:lineRule="exact"/>
        <w:ind w:firstLine="708" w:firstLineChars="227"/>
        <w:rPr>
          <w:rFonts w:ascii="Times New Roman" w:eastAsia="仿宋_GB2312"/>
          <w:spacing w:val="-4"/>
          <w:szCs w:val="32"/>
        </w:rPr>
      </w:pPr>
      <w:r>
        <w:rPr>
          <w:rFonts w:ascii="Times New Roman" w:eastAsia="仿宋_GB2312"/>
          <w:spacing w:val="-4"/>
          <w:szCs w:val="32"/>
        </w:rPr>
        <w:t>鼓励高校、科研机构与企业通过苏州市生物医药产业和医疗器械产业知识产权运营中心促进知识产权的产业化、商品化和资本化。鼓励企业建立高价值专利培育体系，强化产学研服协同创新，培育一批核心专利与高价值专利。推动专利许可交易和投融资，实现创新价值。对通过PCT途径申请国外专利进入国际受理阶段和获得国家专利金奖、优秀奖给予重点奖励。</w:t>
      </w:r>
    </w:p>
    <w:p>
      <w:pPr>
        <w:spacing w:line="560" w:lineRule="exact"/>
        <w:ind w:firstLine="640" w:firstLineChars="200"/>
        <w:outlineLvl w:val="0"/>
        <w:rPr>
          <w:rFonts w:ascii="Times New Roman" w:eastAsia="黑体"/>
          <w:bCs/>
          <w:szCs w:val="32"/>
        </w:rPr>
      </w:pPr>
      <w:r>
        <w:rPr>
          <w:rFonts w:ascii="Times New Roman" w:eastAsia="黑体"/>
          <w:bCs/>
          <w:szCs w:val="32"/>
        </w:rPr>
        <w:t>三、保障措施</w:t>
      </w:r>
    </w:p>
    <w:p>
      <w:pPr>
        <w:pStyle w:val="6"/>
        <w:spacing w:line="560" w:lineRule="exact"/>
        <w:ind w:firstLine="640"/>
        <w:outlineLvl w:val="1"/>
        <w:rPr>
          <w:rFonts w:ascii="Times New Roman" w:eastAsia="楷体_GB2312"/>
          <w:bCs/>
          <w:szCs w:val="32"/>
        </w:rPr>
      </w:pPr>
      <w:r>
        <w:rPr>
          <w:rFonts w:ascii="Times New Roman" w:eastAsia="楷体_GB2312"/>
          <w:bCs/>
          <w:szCs w:val="32"/>
        </w:rPr>
        <w:t>（一）加强统筹协调</w:t>
      </w:r>
    </w:p>
    <w:p>
      <w:pPr>
        <w:spacing w:line="560" w:lineRule="exact"/>
        <w:ind w:firstLineChars="200"/>
        <w:rPr>
          <w:rFonts w:ascii="Times New Roman" w:eastAsia="仿宋_GB2312"/>
          <w:spacing w:val="-4"/>
          <w:szCs w:val="32"/>
        </w:rPr>
      </w:pPr>
      <w:r>
        <w:rPr>
          <w:rFonts w:ascii="Times New Roman" w:eastAsia="仿宋_GB2312"/>
          <w:spacing w:val="-4"/>
          <w:szCs w:val="32"/>
        </w:rPr>
        <w:t>成立太仓市生物医药产业创新集群工作领导小组，由市委、市政府主要领导担任组长。加强对全市生物医药产业创新集群发展工作的统一组织和监督，协调全市资源，统筹召开联席会议、完善责任分工和考核评价机制等产业推进工作。加强产业政策与财税、金融、知识产权、人才、教育、贸易等政策的协同，形成目标一致、部门配合、可操作、可落地的生物医药产业政策体系。</w:t>
      </w:r>
    </w:p>
    <w:p>
      <w:pPr>
        <w:pStyle w:val="6"/>
        <w:spacing w:line="560" w:lineRule="exact"/>
        <w:ind w:firstLine="640"/>
        <w:outlineLvl w:val="1"/>
        <w:rPr>
          <w:rFonts w:ascii="Times New Roman" w:eastAsia="楷体_GB2312"/>
          <w:bCs/>
          <w:szCs w:val="32"/>
        </w:rPr>
      </w:pPr>
      <w:r>
        <w:rPr>
          <w:rFonts w:ascii="Times New Roman" w:eastAsia="楷体_GB2312"/>
          <w:bCs/>
          <w:szCs w:val="32"/>
        </w:rPr>
        <w:t>（二）优化落户政策</w:t>
      </w:r>
    </w:p>
    <w:p>
      <w:pPr>
        <w:spacing w:line="560" w:lineRule="exact"/>
        <w:ind w:firstLine="580" w:firstLineChars="186"/>
        <w:rPr>
          <w:rFonts w:ascii="Times New Roman" w:eastAsia="仿宋_GB2312"/>
          <w:spacing w:val="-4"/>
          <w:szCs w:val="32"/>
        </w:rPr>
      </w:pPr>
      <w:r>
        <w:rPr>
          <w:rFonts w:ascii="Times New Roman" w:eastAsia="仿宋_GB2312"/>
          <w:spacing w:val="-4"/>
          <w:szCs w:val="32"/>
        </w:rPr>
        <w:t>基于产业图谱开展精准招商，根据建链、补链、延链、强链的关键环节，建立并动态更新可对接的省内外企业、科研机构、可对接的重点产业区域布局名单等，全力引进生物医药产业项目入区发展。加大高校科研院所以及</w:t>
      </w:r>
      <w:r>
        <w:rPr>
          <w:rFonts w:ascii="Times New Roman" w:eastAsia="仿宋_GB2312"/>
          <w:szCs w:val="32"/>
        </w:rPr>
        <w:t>企业自建的生物医药类研究院、创新中心、制造业基地和生物医药公共服务平台招引力度</w:t>
      </w:r>
      <w:r>
        <w:rPr>
          <w:rFonts w:ascii="Times New Roman" w:eastAsia="仿宋_GB2312"/>
          <w:spacing w:val="-4"/>
          <w:szCs w:val="32"/>
        </w:rPr>
        <w:t>，具体奖励扶持措施“一事一议”，对企业设备、车间等创新设施建设给予不同程度资助。</w:t>
      </w:r>
    </w:p>
    <w:p>
      <w:pPr>
        <w:pStyle w:val="6"/>
        <w:spacing w:line="560" w:lineRule="exact"/>
        <w:ind w:firstLine="640"/>
        <w:outlineLvl w:val="1"/>
        <w:rPr>
          <w:rFonts w:ascii="Times New Roman" w:eastAsia="楷体_GB2312"/>
          <w:bCs/>
          <w:szCs w:val="32"/>
        </w:rPr>
      </w:pPr>
      <w:r>
        <w:rPr>
          <w:rFonts w:ascii="Times New Roman" w:eastAsia="楷体_GB2312"/>
          <w:bCs/>
          <w:szCs w:val="32"/>
        </w:rPr>
        <w:t>（三）营造宜业环境</w:t>
      </w:r>
    </w:p>
    <w:p>
      <w:pPr>
        <w:spacing w:line="560" w:lineRule="exact"/>
        <w:ind w:firstLine="580" w:firstLineChars="186"/>
        <w:rPr>
          <w:rFonts w:ascii="Times New Roman" w:eastAsia="仿宋_GB2312"/>
          <w:spacing w:val="-4"/>
          <w:szCs w:val="32"/>
        </w:rPr>
      </w:pPr>
      <w:r>
        <w:rPr>
          <w:rFonts w:ascii="Times New Roman" w:eastAsia="仿宋_GB2312"/>
          <w:spacing w:val="-4"/>
          <w:szCs w:val="32"/>
        </w:rPr>
        <w:t>持续完善太仓市生物医药产业园、太仓生物港、中德（太仓）生命健康产业园等人才聚集地的配套设施与生活服务，完善一批周边公共交通班次、路线与高质量人才公寓建设，保障企业人员基本需求。安排专业团队对接人才需求，解决重点人才在人才奖励、落户安居、入学就医、税费优惠、居留签证等方面的实际问题。</w:t>
      </w:r>
    </w:p>
    <w:p>
      <w:pPr>
        <w:pStyle w:val="6"/>
        <w:spacing w:line="560" w:lineRule="exact"/>
        <w:ind w:firstLine="640"/>
        <w:outlineLvl w:val="1"/>
        <w:rPr>
          <w:rFonts w:ascii="Times New Roman" w:eastAsia="楷体_GB2312"/>
          <w:bCs/>
          <w:szCs w:val="32"/>
        </w:rPr>
      </w:pPr>
      <w:r>
        <w:rPr>
          <w:rFonts w:ascii="Times New Roman" w:eastAsia="楷体_GB2312"/>
          <w:bCs/>
          <w:szCs w:val="32"/>
        </w:rPr>
        <w:t>（四）加强审批服务</w:t>
      </w:r>
    </w:p>
    <w:p>
      <w:pPr>
        <w:spacing w:line="560" w:lineRule="exact"/>
        <w:ind w:firstLine="640" w:firstLineChars="200"/>
        <w:rPr>
          <w:rFonts w:ascii="Times New Roman" w:eastAsia="仿宋_GB2312"/>
          <w:spacing w:val="-4"/>
          <w:szCs w:val="32"/>
        </w:rPr>
      </w:pPr>
      <w:r>
        <w:rPr>
          <w:rFonts w:ascii="Times New Roman" w:eastAsia="仿宋_GB2312"/>
          <w:szCs w:val="24"/>
        </w:rPr>
        <w:t>建立太仓企业与江苏省药监局审评核查苏州分中心、国家药品监督管理局的快速沟通机制</w:t>
      </w:r>
      <w:r>
        <w:rPr>
          <w:rFonts w:ascii="Times New Roman" w:eastAsia="仿宋_GB2312"/>
          <w:spacing w:val="-4"/>
          <w:szCs w:val="32"/>
        </w:rPr>
        <w:t>，为企业在注册、审评审批、行政许可等过程提供专业咨询，加速生物医药企业报证审批流程。选派优秀人员到国家和省市药品监督管理部门等部门挂职，定期开展省、市药监医疗器械审评中心的专家讲座，帮助企业了解最新的法规和流程、申报的程序和通道，并与相关审批部门建立沟通渠道。</w:t>
      </w:r>
    </w:p>
    <w:p>
      <w:pPr>
        <w:pStyle w:val="6"/>
        <w:spacing w:line="560" w:lineRule="exact"/>
        <w:ind w:firstLine="640"/>
        <w:outlineLvl w:val="1"/>
        <w:rPr>
          <w:rFonts w:ascii="Times New Roman" w:eastAsia="楷体_GB2312"/>
          <w:bCs/>
          <w:szCs w:val="32"/>
        </w:rPr>
      </w:pPr>
      <w:r>
        <w:rPr>
          <w:rFonts w:ascii="Times New Roman" w:eastAsia="楷体_GB2312"/>
          <w:bCs/>
          <w:szCs w:val="32"/>
        </w:rPr>
        <w:t>（五）保障空间资源</w:t>
      </w:r>
    </w:p>
    <w:p>
      <w:pPr>
        <w:widowControl/>
        <w:spacing w:line="560" w:lineRule="exact"/>
        <w:ind w:firstLine="640" w:firstLineChars="200"/>
        <w:rPr>
          <w:rFonts w:ascii="Times New Roman" w:eastAsia="黑体"/>
          <w:spacing w:val="-4"/>
          <w:szCs w:val="32"/>
        </w:rPr>
      </w:pPr>
      <w:r>
        <w:rPr>
          <w:rFonts w:ascii="Times New Roman" w:eastAsia="仿宋_GB2312"/>
          <w:szCs w:val="32"/>
        </w:rPr>
        <w:t>重点保障生物医药产业发展用地需求</w:t>
      </w:r>
      <w:r>
        <w:rPr>
          <w:rFonts w:ascii="Times New Roman" w:eastAsia="仿宋_GB2312"/>
          <w:spacing w:val="-4"/>
          <w:szCs w:val="32"/>
        </w:rPr>
        <w:t>，形成太仓“一核两极”的产业发展格局，以沙溪镇生物医药产业集群为核心，以高新区创新策源功能与港区口岸服务优势为特色的“一南一北”两个创新极为辅助。增加配套服务供给，提升生物医药产业园内配套建设行政办公及生活服务设施的用地面积占项目总用地面积的比例上限。进一步加快孵化器、加速器、公共技术服务中心、创智坊等功能性项目建设，探索优质项目上下游产业联动的供地模式，打造规模化、集约化、航母级的生物医药集群板块。</w:t>
      </w:r>
    </w:p>
    <w:p>
      <w:pPr>
        <w:spacing w:line="560" w:lineRule="exact"/>
        <w:rPr>
          <w:rFonts w:ascii="Times New Roman" w:eastAsia="黑体"/>
          <w:spacing w:val="-4"/>
          <w:szCs w:val="32"/>
        </w:rPr>
      </w:pPr>
    </w:p>
    <w:p>
      <w:pPr>
        <w:spacing w:line="560" w:lineRule="exact"/>
        <w:rPr>
          <w:rFonts w:ascii="Times New Roman" w:eastAsia="仿宋_GB2312"/>
          <w:bCs/>
          <w:spacing w:val="-4"/>
          <w:szCs w:val="32"/>
        </w:rPr>
      </w:pPr>
      <w:r>
        <w:rPr>
          <w:rFonts w:ascii="Times New Roman" w:hAnsi="仿宋_GB2312" w:eastAsia="仿宋_GB2312"/>
          <w:spacing w:val="-4"/>
          <w:szCs w:val="32"/>
        </w:rPr>
        <w:t>附件：</w:t>
      </w:r>
      <w:r>
        <w:rPr>
          <w:rFonts w:ascii="Times New Roman" w:eastAsia="黑体"/>
          <w:spacing w:val="-4"/>
          <w:szCs w:val="32"/>
        </w:rPr>
        <w:t>1</w:t>
      </w:r>
      <w:r>
        <w:rPr>
          <w:rFonts w:ascii="Times New Roman" w:eastAsia="仿宋"/>
          <w:spacing w:val="-4"/>
          <w:szCs w:val="32"/>
        </w:rPr>
        <w:t xml:space="preserve">. </w:t>
      </w:r>
      <w:r>
        <w:rPr>
          <w:rFonts w:ascii="Times New Roman" w:eastAsia="仿宋_GB2312"/>
          <w:bCs/>
          <w:spacing w:val="-4"/>
          <w:szCs w:val="32"/>
        </w:rPr>
        <w:t>太仓生物医药产业创新集群建设主要指标</w:t>
      </w:r>
    </w:p>
    <w:p>
      <w:pPr>
        <w:spacing w:line="560" w:lineRule="exact"/>
        <w:ind w:firstLine="680"/>
        <w:rPr>
          <w:rFonts w:ascii="Times New Roman" w:eastAsia="仿宋_GB2312"/>
          <w:bCs/>
          <w:spacing w:val="-4"/>
          <w:szCs w:val="32"/>
        </w:rPr>
      </w:pPr>
      <w:r>
        <w:rPr>
          <w:rFonts w:ascii="Times New Roman" w:eastAsia="仿宋_GB2312"/>
          <w:bCs/>
          <w:spacing w:val="-4"/>
          <w:szCs w:val="32"/>
        </w:rPr>
        <w:t xml:space="preserve">      2</w:t>
      </w:r>
      <w:r>
        <w:rPr>
          <w:rFonts w:ascii="Times New Roman" w:eastAsia="仿宋"/>
          <w:bCs/>
          <w:spacing w:val="-4"/>
          <w:szCs w:val="32"/>
        </w:rPr>
        <w:t>. 太仓市生物医药产业图谱</w:t>
      </w:r>
    </w:p>
    <w:p>
      <w:pPr>
        <w:spacing w:line="360" w:lineRule="auto"/>
        <w:ind w:firstLine="940" w:firstLineChars="300"/>
        <w:rPr>
          <w:rFonts w:ascii="Times New Roman" w:eastAsia="仿宋_GB2312"/>
          <w:b/>
          <w:bCs/>
          <w:spacing w:val="-4"/>
          <w:szCs w:val="32"/>
        </w:rPr>
      </w:pPr>
    </w:p>
    <w:p>
      <w:pPr>
        <w:spacing w:line="360" w:lineRule="auto"/>
        <w:rPr>
          <w:rFonts w:ascii="Times New Roman" w:eastAsia="仿宋_GB2312"/>
          <w:b/>
          <w:bCs/>
          <w:spacing w:val="-4"/>
          <w:szCs w:val="32"/>
        </w:rPr>
      </w:pPr>
    </w:p>
    <w:p>
      <w:pPr>
        <w:spacing w:line="360" w:lineRule="auto"/>
        <w:rPr>
          <w:rFonts w:ascii="Times New Roman" w:eastAsia="仿宋_GB2312"/>
          <w:b/>
          <w:bCs/>
          <w:spacing w:val="-4"/>
          <w:szCs w:val="32"/>
        </w:rPr>
      </w:pPr>
    </w:p>
    <w:tbl>
      <w:tblPr>
        <w:tblStyle w:val="3"/>
        <w:tblpPr w:leftFromText="181" w:rightFromText="181" w:vertAnchor="page" w:horzAnchor="page" w:tblpX="1605" w:tblpY="13447"/>
        <w:tblOverlap w:val="never"/>
        <w:tblW w:w="0" w:type="auto"/>
        <w:tblInd w:w="0" w:type="dxa"/>
        <w:tblLayout w:type="fixed"/>
        <w:tblCellMar>
          <w:top w:w="0" w:type="dxa"/>
          <w:left w:w="0" w:type="dxa"/>
          <w:bottom w:w="0" w:type="dxa"/>
          <w:right w:w="0" w:type="dxa"/>
        </w:tblCellMar>
      </w:tblPr>
      <w:tblGrid>
        <w:gridCol w:w="1137"/>
        <w:gridCol w:w="2268"/>
        <w:gridCol w:w="5245"/>
        <w:gridCol w:w="195"/>
      </w:tblGrid>
      <w:tr>
        <w:tblPrEx>
          <w:tblCellMar>
            <w:top w:w="0" w:type="dxa"/>
            <w:left w:w="0" w:type="dxa"/>
            <w:bottom w:w="0" w:type="dxa"/>
            <w:right w:w="0" w:type="dxa"/>
          </w:tblCellMar>
        </w:tblPrEx>
        <w:trPr>
          <w:trHeight w:val="20" w:hRule="atLeast"/>
        </w:trPr>
        <w:tc>
          <w:tcPr>
            <w:tcW w:w="1137" w:type="dxa"/>
            <w:tcBorders>
              <w:top w:val="single" w:color="auto" w:sz="12" w:space="0"/>
              <w:bottom w:val="single" w:color="auto" w:sz="6" w:space="0"/>
            </w:tcBorders>
            <w:noWrap w:val="0"/>
            <w:vAlign w:val="top"/>
          </w:tcPr>
          <w:p>
            <w:pPr>
              <w:pStyle w:val="7"/>
              <w:tabs>
                <w:tab w:val="left" w:pos="5040"/>
              </w:tabs>
              <w:spacing w:line="360" w:lineRule="exact"/>
              <w:jc w:val="both"/>
              <w:rPr>
                <w:rFonts w:ascii="Times New Roman" w:eastAsia="仿宋_GB2312"/>
                <w:sz w:val="28"/>
              </w:rPr>
            </w:pPr>
            <w:r>
              <w:rPr>
                <w:rFonts w:ascii="Times New Roman" w:eastAsia="仿宋_GB2312"/>
                <w:sz w:val="28"/>
              </w:rPr>
              <w:t>　抄送：</w:t>
            </w:r>
          </w:p>
        </w:tc>
        <w:tc>
          <w:tcPr>
            <w:tcW w:w="7708" w:type="dxa"/>
            <w:gridSpan w:val="3"/>
            <w:tcBorders>
              <w:top w:val="single" w:color="auto" w:sz="12" w:space="0"/>
              <w:bottom w:val="single" w:color="auto" w:sz="6" w:space="0"/>
            </w:tcBorders>
            <w:noWrap w:val="0"/>
            <w:vAlign w:val="center"/>
          </w:tcPr>
          <w:p>
            <w:pPr>
              <w:pStyle w:val="7"/>
              <w:tabs>
                <w:tab w:val="left" w:pos="5040"/>
              </w:tabs>
              <w:spacing w:line="360" w:lineRule="exact"/>
              <w:jc w:val="left"/>
              <w:rPr>
                <w:rFonts w:ascii="Times New Roman" w:eastAsia="仿宋_GB2312"/>
                <w:spacing w:val="-6"/>
                <w:sz w:val="28"/>
                <w:szCs w:val="28"/>
              </w:rPr>
            </w:pPr>
            <w:r>
              <w:rPr>
                <w:rFonts w:ascii="Times New Roman" w:eastAsia="仿宋_GB2312"/>
                <w:spacing w:val="-6"/>
                <w:sz w:val="28"/>
                <w:szCs w:val="28"/>
              </w:rPr>
              <w:t>市委各部委办局，市人大常委会办公室，市政协办公室，市监委、</w:t>
            </w:r>
          </w:p>
          <w:p>
            <w:pPr>
              <w:pStyle w:val="7"/>
              <w:tabs>
                <w:tab w:val="left" w:pos="5040"/>
              </w:tabs>
              <w:spacing w:line="360" w:lineRule="exact"/>
              <w:jc w:val="left"/>
              <w:rPr>
                <w:rFonts w:ascii="Times New Roman" w:eastAsia="仿宋_GB2312"/>
                <w:sz w:val="28"/>
              </w:rPr>
            </w:pPr>
            <w:r>
              <w:rPr>
                <w:rFonts w:ascii="Times New Roman" w:eastAsia="仿宋_GB2312"/>
                <w:spacing w:val="-6"/>
                <w:sz w:val="28"/>
                <w:szCs w:val="28"/>
              </w:rPr>
              <w:t>市法院、检察院，市人武部，市各人民团体。</w:t>
            </w:r>
          </w:p>
        </w:tc>
      </w:tr>
      <w:tr>
        <w:tblPrEx>
          <w:tblCellMar>
            <w:top w:w="0" w:type="dxa"/>
            <w:left w:w="0" w:type="dxa"/>
            <w:bottom w:w="0" w:type="dxa"/>
            <w:right w:w="0" w:type="dxa"/>
          </w:tblCellMar>
        </w:tblPrEx>
        <w:trPr>
          <w:trHeight w:val="20" w:hRule="atLeast"/>
        </w:trPr>
        <w:tc>
          <w:tcPr>
            <w:tcW w:w="3405" w:type="dxa"/>
            <w:gridSpan w:val="2"/>
            <w:tcBorders>
              <w:top w:val="single" w:color="auto" w:sz="6" w:space="0"/>
              <w:bottom w:val="single" w:color="auto" w:sz="12" w:space="0"/>
            </w:tcBorders>
            <w:noWrap w:val="0"/>
            <w:vAlign w:val="center"/>
          </w:tcPr>
          <w:p>
            <w:pPr>
              <w:pStyle w:val="7"/>
              <w:tabs>
                <w:tab w:val="left" w:pos="5040"/>
              </w:tabs>
              <w:spacing w:line="360" w:lineRule="exact"/>
              <w:jc w:val="left"/>
              <w:rPr>
                <w:rFonts w:ascii="Times New Roman" w:eastAsia="仿宋_GB2312"/>
                <w:sz w:val="28"/>
              </w:rPr>
            </w:pPr>
            <w:r>
              <w:rPr>
                <w:rFonts w:ascii="Times New Roman" w:eastAsia="仿宋_GB2312"/>
                <w:sz w:val="28"/>
              </w:rPr>
              <w:t>　太仓市人民政府办公室</w:t>
            </w:r>
          </w:p>
        </w:tc>
        <w:tc>
          <w:tcPr>
            <w:tcW w:w="5245" w:type="dxa"/>
            <w:tcBorders>
              <w:top w:val="single" w:color="auto" w:sz="6" w:space="0"/>
              <w:bottom w:val="single" w:color="auto" w:sz="12" w:space="0"/>
            </w:tcBorders>
            <w:noWrap w:val="0"/>
            <w:vAlign w:val="center"/>
          </w:tcPr>
          <w:p>
            <w:pPr>
              <w:pStyle w:val="7"/>
              <w:tabs>
                <w:tab w:val="left" w:pos="5040"/>
              </w:tabs>
              <w:spacing w:line="360" w:lineRule="exact"/>
              <w:jc w:val="right"/>
              <w:rPr>
                <w:rFonts w:ascii="Times New Roman" w:eastAsia="仿宋_GB2312"/>
                <w:sz w:val="28"/>
              </w:rPr>
            </w:pPr>
            <w:r>
              <w:rPr>
                <w:rFonts w:ascii="Times New Roman" w:eastAsia="仿宋_GB2312"/>
                <w:sz w:val="28"/>
              </w:rPr>
              <w:t>2022年</w:t>
            </w:r>
            <w:r>
              <w:rPr>
                <w:rFonts w:hint="eastAsia" w:ascii="Times New Roman" w:eastAsia="仿宋_GB2312"/>
                <w:sz w:val="28"/>
              </w:rPr>
              <w:t>6</w:t>
            </w:r>
            <w:r>
              <w:rPr>
                <w:rFonts w:ascii="Times New Roman" w:eastAsia="仿宋_GB2312"/>
                <w:sz w:val="28"/>
              </w:rPr>
              <w:t>月</w:t>
            </w:r>
            <w:r>
              <w:rPr>
                <w:rFonts w:hint="eastAsia" w:ascii="Times New Roman" w:eastAsia="仿宋_GB2312"/>
                <w:sz w:val="28"/>
              </w:rPr>
              <w:t>22</w:t>
            </w:r>
            <w:r>
              <w:rPr>
                <w:rFonts w:ascii="Times New Roman" w:eastAsia="仿宋_GB2312"/>
                <w:sz w:val="28"/>
              </w:rPr>
              <w:t>日印发</w:t>
            </w:r>
          </w:p>
        </w:tc>
        <w:tc>
          <w:tcPr>
            <w:tcW w:w="195" w:type="dxa"/>
            <w:tcBorders>
              <w:top w:val="single" w:color="auto" w:sz="6" w:space="0"/>
              <w:bottom w:val="single" w:color="auto" w:sz="12" w:space="0"/>
            </w:tcBorders>
            <w:noWrap w:val="0"/>
            <w:vAlign w:val="center"/>
          </w:tcPr>
          <w:p>
            <w:pPr>
              <w:pStyle w:val="7"/>
              <w:tabs>
                <w:tab w:val="left" w:pos="5040"/>
              </w:tabs>
              <w:spacing w:line="360" w:lineRule="exact"/>
              <w:rPr>
                <w:rFonts w:ascii="Times New Roman" w:eastAsia="仿宋_GB2312"/>
                <w:sz w:val="28"/>
              </w:rPr>
            </w:pPr>
          </w:p>
        </w:tc>
      </w:tr>
    </w:tbl>
    <w:p>
      <w:pPr>
        <w:spacing w:line="360" w:lineRule="auto"/>
        <w:rPr>
          <w:rFonts w:ascii="Times New Roman" w:eastAsia="仿宋_GB2312"/>
          <w:b/>
          <w:bCs/>
          <w:spacing w:val="-4"/>
          <w:szCs w:val="32"/>
        </w:rPr>
      </w:pPr>
    </w:p>
    <w:p>
      <w:pPr>
        <w:spacing w:line="360" w:lineRule="auto"/>
        <w:rPr>
          <w:rFonts w:ascii="Times New Roman" w:eastAsia="黑体"/>
          <w:spacing w:val="-4"/>
          <w:szCs w:val="32"/>
        </w:rPr>
      </w:pPr>
      <w:r>
        <w:rPr>
          <w:rFonts w:ascii="Times New Roman" w:eastAsia="仿宋_GB2312"/>
          <w:b/>
          <w:bCs/>
          <w:spacing w:val="-4"/>
          <w:szCs w:val="32"/>
        </w:rPr>
        <w:br w:type="page"/>
      </w:r>
      <w:r>
        <w:rPr>
          <w:rFonts w:ascii="Times New Roman" w:hAnsi="黑体" w:eastAsia="黑体"/>
          <w:spacing w:val="-4"/>
          <w:szCs w:val="32"/>
        </w:rPr>
        <w:t>附件</w:t>
      </w:r>
      <w:r>
        <w:rPr>
          <w:rFonts w:ascii="Times New Roman" w:eastAsia="黑体"/>
          <w:spacing w:val="-4"/>
          <w:szCs w:val="32"/>
        </w:rPr>
        <w:t>1</w:t>
      </w:r>
    </w:p>
    <w:p>
      <w:pPr>
        <w:widowControl/>
        <w:spacing w:line="360" w:lineRule="auto"/>
        <w:ind w:firstLine="0"/>
        <w:jc w:val="center"/>
        <w:rPr>
          <w:rFonts w:ascii="Times New Roman" w:eastAsia="方正小标宋简体"/>
          <w:bCs/>
          <w:spacing w:val="-4"/>
          <w:sz w:val="40"/>
          <w:szCs w:val="40"/>
        </w:rPr>
      </w:pPr>
      <w:r>
        <w:rPr>
          <w:rFonts w:ascii="Times New Roman" w:hAnsi="方正小标宋简体" w:eastAsia="方正小标宋简体"/>
          <w:bCs/>
          <w:spacing w:val="-4"/>
          <w:sz w:val="40"/>
          <w:szCs w:val="40"/>
        </w:rPr>
        <w:t>太仓市生物医药产业创新集群建设主要指标</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15" w:type="dxa"/>
          <w:left w:w="15" w:type="dxa"/>
          <w:bottom w:w="15" w:type="dxa"/>
          <w:right w:w="15" w:type="dxa"/>
        </w:tblCellMar>
      </w:tblPr>
      <w:tblGrid>
        <w:gridCol w:w="1755"/>
        <w:gridCol w:w="3580"/>
        <w:gridCol w:w="1453"/>
        <w:gridCol w:w="14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06" w:hRule="atLeast"/>
          <w:tblHeader/>
          <w:jc w:val="center"/>
        </w:trPr>
        <w:tc>
          <w:tcPr>
            <w:tcW w:w="1755" w:type="dxa"/>
            <w:noWrap w:val="0"/>
            <w:vAlign w:val="center"/>
          </w:tcPr>
          <w:p>
            <w:pPr>
              <w:overflowPunct w:val="0"/>
              <w:adjustRightInd w:val="0"/>
              <w:ind w:firstLine="0"/>
              <w:jc w:val="center"/>
              <w:rPr>
                <w:rFonts w:ascii="Times New Roman" w:eastAsia="黑体"/>
                <w:bCs/>
                <w:spacing w:val="-4"/>
                <w:sz w:val="24"/>
              </w:rPr>
            </w:pPr>
            <w:r>
              <w:rPr>
                <w:rFonts w:ascii="Times New Roman" w:eastAsia="黑体"/>
                <w:bCs/>
                <w:spacing w:val="-4"/>
                <w:sz w:val="24"/>
              </w:rPr>
              <w:t>类  型</w:t>
            </w:r>
          </w:p>
        </w:tc>
        <w:tc>
          <w:tcPr>
            <w:tcW w:w="3580" w:type="dxa"/>
            <w:noWrap w:val="0"/>
            <w:vAlign w:val="center"/>
          </w:tcPr>
          <w:p>
            <w:pPr>
              <w:overflowPunct w:val="0"/>
              <w:adjustRightInd w:val="0"/>
              <w:ind w:firstLine="0"/>
              <w:jc w:val="center"/>
              <w:rPr>
                <w:rFonts w:ascii="Times New Roman" w:eastAsia="黑体"/>
                <w:bCs/>
                <w:spacing w:val="-4"/>
                <w:sz w:val="24"/>
              </w:rPr>
            </w:pPr>
            <w:r>
              <w:rPr>
                <w:rFonts w:ascii="Times New Roman" w:eastAsia="黑体"/>
                <w:bCs/>
                <w:spacing w:val="-4"/>
                <w:sz w:val="24"/>
              </w:rPr>
              <w:t>指标（单位）</w:t>
            </w:r>
          </w:p>
        </w:tc>
        <w:tc>
          <w:tcPr>
            <w:tcW w:w="1453" w:type="dxa"/>
            <w:noWrap w:val="0"/>
            <w:vAlign w:val="center"/>
          </w:tcPr>
          <w:p>
            <w:pPr>
              <w:overflowPunct w:val="0"/>
              <w:adjustRightInd w:val="0"/>
              <w:ind w:firstLine="0"/>
              <w:jc w:val="center"/>
              <w:rPr>
                <w:rFonts w:ascii="Times New Roman" w:eastAsia="黑体"/>
                <w:bCs/>
                <w:spacing w:val="-4"/>
                <w:sz w:val="24"/>
              </w:rPr>
            </w:pPr>
            <w:r>
              <w:rPr>
                <w:rFonts w:ascii="Times New Roman" w:eastAsia="黑体"/>
                <w:bCs/>
                <w:spacing w:val="-4"/>
                <w:sz w:val="24"/>
              </w:rPr>
              <w:t>2021年</w:t>
            </w:r>
          </w:p>
        </w:tc>
        <w:tc>
          <w:tcPr>
            <w:tcW w:w="1470" w:type="dxa"/>
            <w:noWrap w:val="0"/>
            <w:vAlign w:val="center"/>
          </w:tcPr>
          <w:p>
            <w:pPr>
              <w:overflowPunct w:val="0"/>
              <w:adjustRightInd w:val="0"/>
              <w:ind w:firstLine="0"/>
              <w:jc w:val="center"/>
              <w:rPr>
                <w:rFonts w:ascii="Times New Roman" w:eastAsia="黑体"/>
                <w:bCs/>
                <w:spacing w:val="-4"/>
                <w:sz w:val="24"/>
              </w:rPr>
            </w:pPr>
            <w:r>
              <w:rPr>
                <w:rFonts w:ascii="Times New Roman" w:eastAsia="黑体"/>
                <w:bCs/>
                <w:spacing w:val="-4"/>
                <w:sz w:val="24"/>
              </w:rPr>
              <w:t>2025年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总量指标</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生物医药产业营业收入（亿元）</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z w:val="24"/>
              </w:rPr>
              <w:t>200</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创新企业</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企业总数（家）</w:t>
            </w:r>
          </w:p>
        </w:tc>
        <w:tc>
          <w:tcPr>
            <w:tcW w:w="1453" w:type="dxa"/>
            <w:noWrap w:val="0"/>
            <w:vAlign w:val="center"/>
          </w:tcPr>
          <w:p>
            <w:pPr>
              <w:overflowPunct w:val="0"/>
              <w:adjustRightInd w:val="0"/>
              <w:ind w:firstLine="0"/>
              <w:jc w:val="center"/>
              <w:rPr>
                <w:rFonts w:ascii="Times New Roman" w:eastAsia="仿宋_GB2312"/>
                <w:sz w:val="24"/>
              </w:rPr>
            </w:pPr>
            <w:r>
              <w:rPr>
                <w:rFonts w:ascii="Times New Roman" w:eastAsia="仿宋_GB2312"/>
                <w:spacing w:val="-4"/>
                <w:sz w:val="24"/>
              </w:rPr>
              <w:t>260</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科技型中小企业和高企数（家）</w:t>
            </w:r>
          </w:p>
        </w:tc>
        <w:tc>
          <w:tcPr>
            <w:tcW w:w="1453" w:type="dxa"/>
            <w:noWrap w:val="0"/>
            <w:vAlign w:val="center"/>
          </w:tcPr>
          <w:p>
            <w:pPr>
              <w:overflowPunct w:val="0"/>
              <w:adjustRightInd w:val="0"/>
              <w:ind w:firstLine="0"/>
              <w:jc w:val="center"/>
              <w:rPr>
                <w:rFonts w:ascii="Times New Roman" w:eastAsia="仿宋_GB2312"/>
                <w:sz w:val="24"/>
              </w:rPr>
            </w:pPr>
            <w:r>
              <w:rPr>
                <w:rFonts w:ascii="Times New Roman" w:eastAsia="仿宋_GB2312"/>
                <w:spacing w:val="-4"/>
                <w:sz w:val="24"/>
              </w:rPr>
              <w:t>77</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300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“独角兽”培育企业累计数（家）</w:t>
            </w:r>
          </w:p>
        </w:tc>
        <w:tc>
          <w:tcPr>
            <w:tcW w:w="1453" w:type="dxa"/>
            <w:noWrap w:val="0"/>
            <w:vAlign w:val="center"/>
          </w:tcPr>
          <w:p>
            <w:pPr>
              <w:overflowPunct w:val="0"/>
              <w:adjustRightInd w:val="0"/>
              <w:ind w:firstLine="0"/>
              <w:jc w:val="center"/>
              <w:rPr>
                <w:rFonts w:ascii="Times New Roman" w:eastAsia="仿宋_GB2312"/>
                <w:sz w:val="24"/>
              </w:rPr>
            </w:pPr>
            <w:r>
              <w:rPr>
                <w:rFonts w:ascii="Times New Roman" w:eastAsia="仿宋_GB2312"/>
                <w:spacing w:val="-4"/>
                <w:sz w:val="24"/>
              </w:rPr>
              <w:t>3</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领军人才</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苏州市级以上领军人才数（人）</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8</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太仓科技领军人才数（人）</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13</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创新载体</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生物医药领域研究院所（家）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新增省级创新中心、企业研发机构或创新平台（家）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生物医药载体面积（万平方米）</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40</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200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创新成果</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申报上市药品（件）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申报医疗器械产品（件）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16</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创新生态</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生物医药类科创基金规模（亿元）</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17</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生物医药上市企业（家）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w:t>
            </w:r>
          </w:p>
        </w:tc>
      </w:tr>
    </w:tbl>
    <w:p>
      <w:pPr>
        <w:spacing w:line="360" w:lineRule="auto"/>
        <w:rPr>
          <w:rFonts w:ascii="Times New Roman" w:eastAsia="仿宋_GB2312"/>
          <w:spacing w:val="-4"/>
          <w:szCs w:val="32"/>
        </w:rPr>
      </w:pPr>
    </w:p>
    <w:p>
      <w:pPr>
        <w:spacing w:line="360" w:lineRule="auto"/>
        <w:rPr>
          <w:rFonts w:ascii="Times New Roman" w:eastAsia="仿宋_GB2312"/>
          <w:spacing w:val="-4"/>
          <w:szCs w:val="32"/>
        </w:rPr>
        <w:sectPr>
          <w:footerReference r:id="rId5" w:type="default"/>
          <w:pgSz w:w="11906" w:h="16838"/>
          <w:pgMar w:top="2041" w:right="1474" w:bottom="1928" w:left="1474" w:header="851" w:footer="992" w:gutter="0"/>
          <w:pgNumType w:start="1"/>
          <w:cols w:space="720" w:num="1"/>
          <w:docGrid w:type="lines" w:linePitch="312" w:charSpace="0"/>
        </w:sectPr>
      </w:pPr>
    </w:p>
    <w:p>
      <w:pPr>
        <w:spacing w:line="360" w:lineRule="auto"/>
        <w:rPr>
          <w:rFonts w:ascii="Times New Roman" w:eastAsia="黑体"/>
          <w:spacing w:val="-4"/>
          <w:szCs w:val="32"/>
        </w:rPr>
      </w:pPr>
      <w:r>
        <w:rPr>
          <w:rFonts w:ascii="Times New Roman" w:hAnsi="黑体" w:eastAsia="黑体"/>
          <w:spacing w:val="-4"/>
          <w:szCs w:val="32"/>
        </w:rPr>
        <w:t>附件</w:t>
      </w:r>
      <w:r>
        <w:rPr>
          <w:rFonts w:ascii="Times New Roman" w:eastAsia="黑体"/>
          <w:spacing w:val="-4"/>
          <w:szCs w:val="32"/>
        </w:rPr>
        <w:t>2</w:t>
      </w:r>
    </w:p>
    <w:p>
      <w:pPr>
        <w:spacing w:line="360" w:lineRule="auto"/>
        <w:ind w:firstLine="0"/>
        <w:jc w:val="center"/>
        <w:rPr>
          <w:rFonts w:ascii="Times New Roman" w:eastAsia="方正小标宋简体"/>
          <w:spacing w:val="-4"/>
          <w:sz w:val="40"/>
          <w:szCs w:val="40"/>
        </w:rPr>
      </w:pPr>
      <w:r>
        <w:rPr>
          <w:rFonts w:ascii="Times New Roman" w:hAnsi="方正小标宋简体" w:eastAsia="方正小标宋简体"/>
          <w:spacing w:val="-4"/>
          <w:sz w:val="40"/>
          <w:szCs w:val="40"/>
        </w:rPr>
        <w:t>太仓市生物医药产业图谱</w:t>
      </w:r>
    </w:p>
    <w:p>
      <w:pPr>
        <w:spacing w:line="360" w:lineRule="auto"/>
        <w:jc w:val="center"/>
        <w:rPr>
          <w:rFonts w:ascii="Times New Roman" w:eastAsia="方正大标宋简体"/>
          <w:spacing w:val="-4"/>
          <w:sz w:val="36"/>
          <w:szCs w:val="36"/>
        </w:rPr>
      </w:pPr>
      <w:r>
        <w:rPr>
          <w:rFonts w:ascii="Times New Roman"/>
        </w:rPr>
        <w:drawing>
          <wp:anchor distT="0" distB="0" distL="114300" distR="114300" simplePos="0" relativeHeight="251659264" behindDoc="1" locked="0" layoutInCell="1" allowOverlap="1">
            <wp:simplePos x="0" y="0"/>
            <wp:positionH relativeFrom="column">
              <wp:posOffset>-360045</wp:posOffset>
            </wp:positionH>
            <wp:positionV relativeFrom="paragraph">
              <wp:posOffset>71755</wp:posOffset>
            </wp:positionV>
            <wp:extent cx="8858885" cy="4845685"/>
            <wp:effectExtent l="0" t="0" r="18415" b="12065"/>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8"/>
                    <a:stretch>
                      <a:fillRect/>
                    </a:stretch>
                  </pic:blipFill>
                  <pic:spPr>
                    <a:xfrm>
                      <a:off x="0" y="0"/>
                      <a:ext cx="8858885" cy="4845685"/>
                    </a:xfrm>
                    <a:prstGeom prst="rect">
                      <a:avLst/>
                    </a:prstGeom>
                    <a:noFill/>
                    <a:ln>
                      <a:noFill/>
                    </a:ln>
                  </pic:spPr>
                </pic:pic>
              </a:graphicData>
            </a:graphic>
          </wp:anchor>
        </w:drawing>
      </w:r>
    </w:p>
    <w:p>
      <w:pPr>
        <w:spacing w:line="360" w:lineRule="auto"/>
        <w:jc w:val="center"/>
        <w:rPr>
          <w:rFonts w:ascii="Times New Roman" w:eastAsia="方正大标宋简体"/>
          <w:spacing w:val="-4"/>
          <w:sz w:val="36"/>
          <w:szCs w:val="36"/>
        </w:rPr>
      </w:pPr>
    </w:p>
    <w:p>
      <w:pPr>
        <w:spacing w:line="360" w:lineRule="auto"/>
        <w:jc w:val="center"/>
        <w:rPr>
          <w:rFonts w:ascii="Times New Roman" w:eastAsia="方正大标宋简体"/>
          <w:spacing w:val="-4"/>
          <w:sz w:val="36"/>
          <w:szCs w:val="36"/>
        </w:rPr>
      </w:pPr>
    </w:p>
    <w:p>
      <w:pPr>
        <w:spacing w:line="360" w:lineRule="auto"/>
        <w:jc w:val="center"/>
        <w:rPr>
          <w:rFonts w:ascii="Times New Roman" w:eastAsia="方正大标宋简体"/>
          <w:spacing w:val="-4"/>
          <w:sz w:val="36"/>
          <w:szCs w:val="36"/>
        </w:rPr>
      </w:pPr>
    </w:p>
    <w:p>
      <w:pPr>
        <w:rPr>
          <w:rFonts w:ascii="Times New Roman"/>
        </w:rPr>
      </w:pPr>
    </w:p>
    <w:p>
      <w:pPr>
        <w:spacing w:line="360" w:lineRule="auto"/>
        <w:rPr>
          <w:rFonts w:ascii="Times New Roman" w:eastAsia="仿宋_GB2312"/>
          <w:spacing w:val="-4"/>
          <w:szCs w:val="32"/>
        </w:rPr>
      </w:pPr>
    </w:p>
    <w:p>
      <w:pPr>
        <w:spacing w:line="560" w:lineRule="exact"/>
        <w:ind w:firstLine="0"/>
        <w:jc w:val="left"/>
        <w:rPr>
          <w:rFonts w:ascii="Times New Roman" w:eastAsia="仿宋_GB2312"/>
          <w:szCs w:val="32"/>
        </w:rPr>
      </w:pPr>
    </w:p>
    <w:p>
      <w:pPr>
        <w:spacing w:line="20" w:lineRule="exact"/>
        <w:ind w:firstLine="0"/>
        <w:jc w:val="left"/>
        <w:rPr>
          <w:rFonts w:ascii="Times New Roman" w:eastAsia="仿宋_GB2312"/>
        </w:rPr>
      </w:pPr>
    </w:p>
    <w:p>
      <w:pPr>
        <w:spacing w:line="20" w:lineRule="exact"/>
        <w:ind w:firstLine="0"/>
        <w:jc w:val="left"/>
        <w:rPr>
          <w:rFonts w:ascii="Times New Roman" w:eastAsia="仿宋_GB2312"/>
        </w:rPr>
      </w:pPr>
    </w:p>
    <w:p>
      <w:pPr>
        <w:spacing w:line="20" w:lineRule="exact"/>
        <w:ind w:firstLine="0"/>
        <w:jc w:val="left"/>
        <w:rPr>
          <w:rFonts w:ascii="Times New Roman" w:eastAsia="仿宋_GB2312"/>
        </w:rPr>
      </w:pPr>
    </w:p>
    <w:p>
      <w:pPr>
        <w:spacing w:line="240" w:lineRule="exact"/>
        <w:ind w:firstLine="0"/>
        <w:jc w:val="left"/>
        <w:rPr>
          <w:rFonts w:ascii="Times New Roman" w:eastAsia="仿宋_GB2312"/>
        </w:rPr>
      </w:pPr>
    </w:p>
    <w:p>
      <w:bookmarkStart w:id="0" w:name="_GoBack"/>
      <w:bookmarkEnd w:id="0"/>
    </w:p>
    <w:sectPr>
      <w:footerReference r:id="rId6" w:type="default"/>
      <w:pgSz w:w="16838" w:h="11906" w:orient="landscape"/>
      <w:pgMar w:top="1474" w:right="2098" w:bottom="1474" w:left="1985" w:header="851" w:footer="1531" w:gutter="113"/>
      <w:pgNumType w:start="1"/>
      <w:cols w:space="720" w:num="1"/>
      <w:docGrid w:type="lines" w:linePitch="597"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仿宋">
    <w:altName w:val="仿宋"/>
    <w:panose1 w:val="00000000000000000000"/>
    <w:charset w:val="86"/>
    <w:family w:val="modern"/>
    <w:pitch w:val="default"/>
    <w:sig w:usb0="00000000" w:usb1="00000000" w:usb2="00000010" w:usb3="00000000" w:csb0="00040000" w:csb1="00000000"/>
  </w:font>
  <w:font w:name="汉鼎简大宋">
    <w:altName w:val="宋体"/>
    <w:panose1 w:val="00000000000000000000"/>
    <w:charset w:val="86"/>
    <w:family w:val="moder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2010601030101010101"/>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Times New Roman" w:hAnsi="Times New Roman"/>
                            </w:rPr>
                          </w:pPr>
                          <w:r>
                            <w:rPr>
                              <w:rFonts w:ascii="Times New Roman" w:hAnsi="Times New Roman"/>
                              <w:szCs w:val="28"/>
                            </w:rPr>
                            <w:t xml:space="preserve">— </w:t>
                          </w:r>
                          <w:r>
                            <w:rPr>
                              <w:rFonts w:ascii="Times New Roman" w:hAnsi="Times New Roman"/>
                              <w:szCs w:val="28"/>
                            </w:rPr>
                            <w:fldChar w:fldCharType="begin"/>
                          </w:r>
                          <w:r>
                            <w:rPr>
                              <w:rFonts w:ascii="Times New Roman" w:hAnsi="Times New Roman"/>
                              <w:szCs w:val="28"/>
                            </w:rPr>
                            <w:instrText xml:space="preserve"> PAGE  \* MERGEFORMAT </w:instrText>
                          </w:r>
                          <w:r>
                            <w:rPr>
                              <w:rFonts w:ascii="Times New Roman" w:hAnsi="Times New Roman"/>
                              <w:szCs w:val="28"/>
                            </w:rPr>
                            <w:fldChar w:fldCharType="separate"/>
                          </w:r>
                          <w:r>
                            <w:rPr>
                              <w:rFonts w:ascii="Times New Roman" w:hAnsi="Times New Roman"/>
                              <w:szCs w:val="28"/>
                            </w:rPr>
                            <w:t>12</w:t>
                          </w:r>
                          <w:r>
                            <w:rPr>
                              <w:rFonts w:ascii="Times New Roman" w:hAnsi="Times New Roman"/>
                              <w:szCs w:val="28"/>
                            </w:rPr>
                            <w:fldChar w:fldCharType="end"/>
                          </w:r>
                          <w:r>
                            <w:rPr>
                              <w:rFonts w:ascii="Times New Roman" w:hAnsi="Times New Roman"/>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path/>
              <v:fill on="f" focussize="0,0"/>
              <v:stroke on="f" weight="0.5pt"/>
              <v:imagedata o:title=""/>
              <o:lock v:ext="edit" aspectratio="f"/>
              <v:textbox inset="0mm,0mm,0mm,0mm" style="mso-fit-shape-to-text:t;">
                <w:txbxContent>
                  <w:p>
                    <w:pPr>
                      <w:pStyle w:val="2"/>
                      <w:rPr>
                        <w:rFonts w:ascii="Times New Roman" w:hAnsi="Times New Roman"/>
                      </w:rPr>
                    </w:pPr>
                    <w:r>
                      <w:rPr>
                        <w:rFonts w:ascii="Times New Roman" w:hAnsi="Times New Roman"/>
                        <w:szCs w:val="28"/>
                      </w:rPr>
                      <w:t xml:space="preserve">— </w:t>
                    </w:r>
                    <w:r>
                      <w:rPr>
                        <w:rFonts w:ascii="Times New Roman" w:hAnsi="Times New Roman"/>
                        <w:szCs w:val="28"/>
                      </w:rPr>
                      <w:fldChar w:fldCharType="begin"/>
                    </w:r>
                    <w:r>
                      <w:rPr>
                        <w:rFonts w:ascii="Times New Roman" w:hAnsi="Times New Roman"/>
                        <w:szCs w:val="28"/>
                      </w:rPr>
                      <w:instrText xml:space="preserve"> PAGE  \* MERGEFORMAT </w:instrText>
                    </w:r>
                    <w:r>
                      <w:rPr>
                        <w:rFonts w:ascii="Times New Roman" w:hAnsi="Times New Roman"/>
                        <w:szCs w:val="28"/>
                      </w:rPr>
                      <w:fldChar w:fldCharType="separate"/>
                    </w:r>
                    <w:r>
                      <w:rPr>
                        <w:rFonts w:ascii="Times New Roman" w:hAnsi="Times New Roman"/>
                        <w:szCs w:val="28"/>
                      </w:rPr>
                      <w:t>12</w:t>
                    </w:r>
                    <w:r>
                      <w:rPr>
                        <w:rFonts w:ascii="Times New Roman" w:hAnsi="Times New Roman"/>
                        <w:szCs w:val="28"/>
                      </w:rPr>
                      <w:fldChar w:fldCharType="end"/>
                    </w:r>
                    <w:r>
                      <w:rPr>
                        <w:rFonts w:ascii="Times New Roman" w:hAnsi="Times New Roman"/>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5122"/>
        <w:tab w:val="right" w:pos="8844"/>
      </w:tabs>
      <w:rPr>
        <w:rFonts w:ascii="Times New Roman" w:hAnsi="Times New Roman"/>
      </w:rPr>
    </w:pPr>
    <w:r>
      <w:rPr>
        <w:rFonts w:ascii="Times New Roman" w:hAnsi="Times New Roman"/>
      </w:rPr>
      <w:t xml:space="preserve">— </w:t>
    </w:r>
    <w:r>
      <w:rPr>
        <w:rFonts w:ascii="Times New Roman" w:hAnsi="Times New Roman"/>
      </w:rPr>
      <w:fldChar w:fldCharType="begin"/>
    </w:r>
    <w:r>
      <w:rPr>
        <w:rStyle w:val="5"/>
        <w:rFonts w:ascii="Times New Roman" w:hAnsi="Times New Roman"/>
      </w:rPr>
      <w:instrText xml:space="preserve"> PAGE </w:instrText>
    </w:r>
    <w:r>
      <w:rPr>
        <w:rFonts w:ascii="Times New Roman" w:hAnsi="Times New Roman"/>
      </w:rPr>
      <w:fldChar w:fldCharType="separate"/>
    </w:r>
    <w:r>
      <w:rPr>
        <w:rStyle w:val="5"/>
        <w:rFonts w:ascii="Times New Roman" w:hAnsi="Times New Roman"/>
      </w:rPr>
      <w:t>1</w:t>
    </w:r>
    <w:r>
      <w:rPr>
        <w:rFonts w:ascii="Times New Roman" w:hAnsi="Times New Roman"/>
      </w:rPr>
      <w:fldChar w:fldCharType="end"/>
    </w:r>
    <w:r>
      <w:rPr>
        <w:rFonts w:ascii="Times New Roman" w:hAnsi="Times New Roma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3E883"/>
    <w:multiLevelType w:val="singleLevel"/>
    <w:tmpl w:val="9763E883"/>
    <w:lvl w:ilvl="0" w:tentative="0">
      <w:start w:val="2"/>
      <w:numFmt w:val="decimal"/>
      <w:suff w:val="space"/>
      <w:lvlText w:val="%1."/>
      <w:lvlJc w:val="left"/>
    </w:lvl>
  </w:abstractNum>
  <w:abstractNum w:abstractNumId="1">
    <w:nsid w:val="CE4C2CCF"/>
    <w:multiLevelType w:val="singleLevel"/>
    <w:tmpl w:val="CE4C2CCF"/>
    <w:lvl w:ilvl="0" w:tentative="0">
      <w:start w:val="2"/>
      <w:numFmt w:val="decimal"/>
      <w:suff w:val="space"/>
      <w:lvlText w:val="%1."/>
      <w:lvlJc w:val="left"/>
    </w:lvl>
  </w:abstractNum>
  <w:abstractNum w:abstractNumId="2">
    <w:nsid w:val="3ED956A1"/>
    <w:multiLevelType w:val="singleLevel"/>
    <w:tmpl w:val="3ED956A1"/>
    <w:lvl w:ilvl="0" w:tentative="0">
      <w:start w:val="2"/>
      <w:numFmt w:val="decimal"/>
      <w:suff w:val="space"/>
      <w:lvlText w:val="%1."/>
      <w:lvlJc w:val="left"/>
    </w:lvl>
  </w:abstractNum>
  <w:abstractNum w:abstractNumId="3">
    <w:nsid w:val="609D4494"/>
    <w:multiLevelType w:val="multilevel"/>
    <w:tmpl w:val="609D4494"/>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70DFEA53"/>
    <w:multiLevelType w:val="singleLevel"/>
    <w:tmpl w:val="70DFEA53"/>
    <w:lvl w:ilvl="0" w:tentative="0">
      <w:start w:val="2"/>
      <w:numFmt w:val="decimal"/>
      <w:suff w:val="space"/>
      <w:lvlText w:val="%1."/>
      <w:lvlJc w:val="left"/>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zZjg4Y2NhMGFmMWYzZTE3MDY3MTM2YzlmMGU0MDIifQ=="/>
  </w:docVars>
  <w:rsids>
    <w:rsidRoot w:val="24E53D30"/>
    <w:rsid w:val="24E53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汉鼎简仿宋" w:hAnsi="Times New Roman" w:eastAsia="汉鼎简仿宋" w:cs="Times New Roman"/>
      <w:snapToGrid w:val="0"/>
      <w:sz w:val="3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pacing w:line="400" w:lineRule="atLeast"/>
      <w:ind w:firstLine="0"/>
      <w:jc w:val="center"/>
    </w:pPr>
    <w:rPr>
      <w:rFonts w:ascii="宋体" w:hAnsi="宋体" w:eastAsia="宋体"/>
      <w:sz w:val="28"/>
    </w:rPr>
  </w:style>
  <w:style w:type="character" w:styleId="5">
    <w:name w:val="page number"/>
    <w:basedOn w:val="4"/>
    <w:uiPriority w:val="0"/>
  </w:style>
  <w:style w:type="paragraph" w:styleId="6">
    <w:name w:val="List Paragraph"/>
    <w:basedOn w:val="1"/>
    <w:qFormat/>
    <w:uiPriority w:val="99"/>
    <w:pPr>
      <w:ind w:firstLine="420" w:firstLineChars="200"/>
    </w:pPr>
  </w:style>
  <w:style w:type="paragraph" w:customStyle="1" w:styleId="7">
    <w:name w:val="标题1"/>
    <w:basedOn w:val="1"/>
    <w:next w:val="1"/>
    <w:qFormat/>
    <w:uiPriority w:val="0"/>
    <w:pPr>
      <w:tabs>
        <w:tab w:val="left" w:pos="9193"/>
        <w:tab w:val="left" w:pos="9827"/>
      </w:tabs>
      <w:spacing w:line="700" w:lineRule="atLeast"/>
      <w:ind w:firstLine="0"/>
      <w:jc w:val="center"/>
    </w:pPr>
    <w:rPr>
      <w:rFonts w:ascii="汉鼎简大宋" w:eastAsia="汉鼎简大宋"/>
      <w:sz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2022-06-27T03:03:00Z</dcterms:created>
  <dc:creator>庄伯阳</dc:creator>
  <cp:lastModifiedBy>庄伯阳</cp:lastModifiedBy>
  <dcterms:modified xsi:type="dcterms:W3CDTF">2022-06-27T03:03:42Z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85122C5D5CAE48F79C93B21F8B47A48B</vt:lpwstr>
  </property>
</Properties>
</file>