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BF7C7E"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48895</wp:posOffset>
            </wp:positionH>
            <wp:positionV relativeFrom="paragraph">
              <wp:posOffset>267970</wp:posOffset>
            </wp:positionV>
            <wp:extent cx="5657850" cy="2200275"/>
            <wp:effectExtent l="1905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76318D">
        <w:rPr>
          <w:rFonts w:ascii="Times New Roman" w:eastAsia="仿宋_GB2312" w:hint="eastAsia"/>
          <w:noProof/>
        </w:rPr>
        <w:t>9</w:t>
      </w:r>
      <w:r>
        <w:rPr>
          <w:rFonts w:ascii="Times New Roman" w:eastAsia="仿宋_GB2312" w:hint="eastAsia"/>
          <w:noProof/>
        </w:rPr>
        <w:t>〕</w:t>
      </w:r>
      <w:r w:rsidR="00F70827">
        <w:rPr>
          <w:rFonts w:ascii="Times New Roman" w:eastAsia="仿宋_GB2312" w:hint="eastAsia"/>
          <w:noProof/>
        </w:rPr>
        <w:t>107</w:t>
      </w:r>
      <w:r>
        <w:rPr>
          <w:rFonts w:ascii="Times New Roman" w:eastAsia="仿宋_GB2312" w:hint="eastAsia"/>
          <w:noProof/>
        </w:rPr>
        <w:t>号</w:t>
      </w:r>
    </w:p>
    <w:p w:rsidR="006D5860" w:rsidRDefault="006D5860" w:rsidP="00122C9F">
      <w:pPr>
        <w:pStyle w:val="a6"/>
        <w:snapToGrid w:val="0"/>
        <w:spacing w:after="640"/>
        <w:ind w:left="-40"/>
        <w:jc w:val="both"/>
        <w:rPr>
          <w:rFonts w:hint="eastAsia"/>
        </w:rPr>
      </w:pPr>
    </w:p>
    <w:p w:rsidR="006131E7" w:rsidRDefault="006131E7" w:rsidP="00122C9F">
      <w:pPr>
        <w:pStyle w:val="a6"/>
        <w:snapToGrid w:val="0"/>
        <w:spacing w:after="640"/>
        <w:ind w:left="-40"/>
        <w:jc w:val="both"/>
      </w:pPr>
      <w:r>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F70827" w:rsidRDefault="00F70827" w:rsidP="00F70827">
      <w:pPr>
        <w:spacing w:line="560" w:lineRule="exact"/>
        <w:ind w:firstLine="0"/>
        <w:jc w:val="center"/>
        <w:rPr>
          <w:rFonts w:eastAsia="方正大标宋简体" w:hint="eastAsia"/>
          <w:sz w:val="44"/>
          <w:szCs w:val="44"/>
        </w:rPr>
      </w:pPr>
      <w:bookmarkStart w:id="0" w:name="OLE_LINK4"/>
      <w:r>
        <w:rPr>
          <w:rFonts w:eastAsia="方正大标宋简体"/>
          <w:sz w:val="44"/>
          <w:szCs w:val="44"/>
        </w:rPr>
        <w:t>市政府办公室关于印发《太仓市持续加强</w:t>
      </w:r>
    </w:p>
    <w:p w:rsidR="00F70827" w:rsidRDefault="00F70827" w:rsidP="00F70827">
      <w:pPr>
        <w:spacing w:line="560" w:lineRule="exact"/>
        <w:ind w:firstLine="0"/>
        <w:jc w:val="center"/>
        <w:rPr>
          <w:rFonts w:eastAsia="方正大标宋简体"/>
          <w:sz w:val="44"/>
          <w:szCs w:val="44"/>
        </w:rPr>
      </w:pPr>
      <w:r>
        <w:rPr>
          <w:rFonts w:eastAsia="方正大标宋简体"/>
          <w:sz w:val="44"/>
          <w:szCs w:val="44"/>
        </w:rPr>
        <w:t>稀土行业秩序整顿工作方案》的通知</w:t>
      </w:r>
    </w:p>
    <w:bookmarkEnd w:id="0"/>
    <w:p w:rsidR="00F70827" w:rsidRDefault="00F70827" w:rsidP="00F70827">
      <w:pPr>
        <w:spacing w:line="560" w:lineRule="exact"/>
        <w:ind w:firstLine="0"/>
        <w:rPr>
          <w:rFonts w:eastAsia="方正大标宋简体" w:hint="eastAsia"/>
          <w:sz w:val="44"/>
          <w:szCs w:val="44"/>
        </w:rPr>
      </w:pPr>
    </w:p>
    <w:p w:rsidR="00F70827" w:rsidRDefault="00F70827" w:rsidP="00F70827">
      <w:pPr>
        <w:spacing w:line="560" w:lineRule="exact"/>
        <w:ind w:firstLine="0"/>
        <w:rPr>
          <w:rFonts w:eastAsia="仿宋_GB2312"/>
          <w:szCs w:val="32"/>
        </w:rPr>
      </w:pPr>
      <w:r>
        <w:rPr>
          <w:rFonts w:eastAsia="仿宋_GB2312"/>
          <w:szCs w:val="32"/>
        </w:rPr>
        <w:t>各镇人民政府，太仓港经济技术开发区管委会，高新区管委会、旅游度假区管委会，科教新城管委会，娄东街道办事处，市各有关单位：</w:t>
      </w:r>
    </w:p>
    <w:p w:rsidR="00F70827" w:rsidRDefault="00F70827" w:rsidP="00F70827">
      <w:pPr>
        <w:spacing w:line="560" w:lineRule="exact"/>
        <w:ind w:firstLine="645"/>
        <w:rPr>
          <w:rFonts w:eastAsia="仿宋_GB2312"/>
          <w:szCs w:val="32"/>
        </w:rPr>
      </w:pPr>
      <w:r>
        <w:rPr>
          <w:rFonts w:eastAsia="仿宋_GB2312"/>
          <w:szCs w:val="32"/>
        </w:rPr>
        <w:t>经市政府同意，现将《太仓市持续加强稀土行业秩序整顿工作方案》印发给你们，请认真贯彻落实。</w:t>
      </w:r>
    </w:p>
    <w:p w:rsidR="00F70827" w:rsidRDefault="00F70827" w:rsidP="00F70827">
      <w:pPr>
        <w:spacing w:line="560" w:lineRule="exact"/>
        <w:rPr>
          <w:rFonts w:eastAsia="仿宋_GB2312" w:hint="eastAsia"/>
          <w:szCs w:val="32"/>
        </w:rPr>
      </w:pPr>
    </w:p>
    <w:p w:rsidR="00F70827" w:rsidRDefault="00F70827" w:rsidP="00F70827">
      <w:pPr>
        <w:spacing w:line="560" w:lineRule="exact"/>
        <w:rPr>
          <w:rFonts w:eastAsia="仿宋_GB2312"/>
          <w:szCs w:val="32"/>
        </w:rPr>
      </w:pPr>
      <w:r>
        <w:rPr>
          <w:rFonts w:eastAsia="仿宋_GB2312"/>
          <w:szCs w:val="32"/>
        </w:rPr>
        <w:t xml:space="preserve">                 </w:t>
      </w:r>
      <w:r>
        <w:rPr>
          <w:rFonts w:eastAsia="仿宋_GB2312"/>
          <w:szCs w:val="32"/>
        </w:rPr>
        <w:t xml:space="preserve">      </w:t>
      </w:r>
      <w:r>
        <w:rPr>
          <w:rFonts w:eastAsia="仿宋_GB2312"/>
          <w:szCs w:val="32"/>
        </w:rPr>
        <w:t>太仓市人民政府办公室</w:t>
      </w:r>
    </w:p>
    <w:p w:rsidR="00F70827" w:rsidRDefault="00F70827" w:rsidP="00F70827">
      <w:pPr>
        <w:spacing w:line="560" w:lineRule="exact"/>
        <w:ind w:firstLineChars="1600" w:firstLine="5040"/>
        <w:rPr>
          <w:rFonts w:eastAsia="仿宋_GB2312"/>
          <w:szCs w:val="32"/>
        </w:rPr>
      </w:pPr>
      <w:r>
        <w:rPr>
          <w:rFonts w:eastAsia="仿宋_GB2312"/>
          <w:szCs w:val="32"/>
        </w:rPr>
        <w:t>2019</w:t>
      </w:r>
      <w:r>
        <w:rPr>
          <w:rFonts w:eastAsia="仿宋_GB2312"/>
          <w:szCs w:val="32"/>
        </w:rPr>
        <w:t>年</w:t>
      </w:r>
      <w:r>
        <w:rPr>
          <w:rFonts w:eastAsia="仿宋_GB2312"/>
          <w:szCs w:val="32"/>
        </w:rPr>
        <w:t>8</w:t>
      </w:r>
      <w:r>
        <w:rPr>
          <w:rFonts w:eastAsia="仿宋_GB2312"/>
          <w:szCs w:val="32"/>
        </w:rPr>
        <w:t>月</w:t>
      </w:r>
      <w:r>
        <w:rPr>
          <w:rFonts w:eastAsia="仿宋_GB2312" w:hint="eastAsia"/>
          <w:szCs w:val="32"/>
        </w:rPr>
        <w:t>8</w:t>
      </w:r>
      <w:r>
        <w:rPr>
          <w:rFonts w:eastAsia="仿宋_GB2312"/>
          <w:szCs w:val="32"/>
        </w:rPr>
        <w:t>日</w:t>
      </w:r>
    </w:p>
    <w:p w:rsidR="00F70827" w:rsidRDefault="00F70827" w:rsidP="00F70827">
      <w:pPr>
        <w:widowControl/>
        <w:spacing w:line="560" w:lineRule="exact"/>
        <w:jc w:val="left"/>
        <w:rPr>
          <w:rFonts w:eastAsia="仿宋_GB2312"/>
          <w:szCs w:val="32"/>
        </w:rPr>
      </w:pPr>
      <w:r>
        <w:rPr>
          <w:rFonts w:eastAsia="仿宋_GB2312"/>
          <w:szCs w:val="32"/>
        </w:rPr>
        <w:t>（此件公开发布）</w:t>
      </w:r>
      <w:r>
        <w:rPr>
          <w:rFonts w:eastAsia="仿宋_GB2312"/>
          <w:szCs w:val="32"/>
        </w:rPr>
        <w:br w:type="page"/>
      </w:r>
    </w:p>
    <w:p w:rsidR="00A40150" w:rsidRDefault="00A40150" w:rsidP="00F70827">
      <w:pPr>
        <w:spacing w:line="560" w:lineRule="exact"/>
        <w:ind w:firstLine="0"/>
        <w:jc w:val="center"/>
        <w:rPr>
          <w:rFonts w:eastAsia="方正大标宋简体" w:hint="eastAsia"/>
          <w:sz w:val="40"/>
          <w:szCs w:val="40"/>
        </w:rPr>
      </w:pPr>
    </w:p>
    <w:p w:rsidR="00F70827" w:rsidRPr="00F70827" w:rsidRDefault="00F70827" w:rsidP="00F70827">
      <w:pPr>
        <w:spacing w:line="560" w:lineRule="exact"/>
        <w:ind w:firstLine="0"/>
        <w:jc w:val="center"/>
        <w:rPr>
          <w:rFonts w:eastAsia="方正大标宋简体"/>
          <w:sz w:val="40"/>
          <w:szCs w:val="40"/>
        </w:rPr>
      </w:pPr>
      <w:r w:rsidRPr="00F70827">
        <w:rPr>
          <w:rFonts w:eastAsia="方正大标宋简体"/>
          <w:sz w:val="40"/>
          <w:szCs w:val="40"/>
        </w:rPr>
        <w:t>太仓市持续加强稀土行业秩序整顿工作方案</w:t>
      </w:r>
    </w:p>
    <w:p w:rsidR="00F70827" w:rsidRDefault="00F70827" w:rsidP="00F70827">
      <w:pPr>
        <w:spacing w:line="560" w:lineRule="exact"/>
        <w:rPr>
          <w:rFonts w:eastAsia="仿宋_GB2312"/>
          <w:b/>
          <w:sz w:val="48"/>
          <w:szCs w:val="48"/>
        </w:rPr>
      </w:pPr>
    </w:p>
    <w:p w:rsidR="00F70827" w:rsidRDefault="00F70827" w:rsidP="00F70827">
      <w:pPr>
        <w:spacing w:line="560" w:lineRule="exact"/>
        <w:rPr>
          <w:rFonts w:eastAsia="仿宋_GB2312"/>
          <w:szCs w:val="32"/>
        </w:rPr>
      </w:pPr>
      <w:r>
        <w:rPr>
          <w:rFonts w:eastAsia="仿宋_GB2312"/>
          <w:szCs w:val="32"/>
        </w:rPr>
        <w:t>为进一步贯彻落实《国务院关于促进稀土行业持续健康发展的若干意见》（国发〔</w:t>
      </w:r>
      <w:r>
        <w:rPr>
          <w:rFonts w:eastAsia="仿宋_GB2312"/>
          <w:szCs w:val="32"/>
        </w:rPr>
        <w:t>2011</w:t>
      </w:r>
      <w:r>
        <w:rPr>
          <w:rFonts w:eastAsia="仿宋_GB2312"/>
          <w:szCs w:val="32"/>
        </w:rPr>
        <w:t>〕</w:t>
      </w:r>
      <w:r>
        <w:rPr>
          <w:rFonts w:eastAsia="仿宋_GB2312"/>
          <w:szCs w:val="32"/>
        </w:rPr>
        <w:t>12</w:t>
      </w:r>
      <w:r>
        <w:rPr>
          <w:rFonts w:eastAsia="仿宋_GB2312"/>
          <w:szCs w:val="32"/>
        </w:rPr>
        <w:t>号）、工信部等</w:t>
      </w:r>
      <w:r>
        <w:rPr>
          <w:rFonts w:eastAsia="仿宋_GB2312"/>
          <w:szCs w:val="32"/>
        </w:rPr>
        <w:t>12</w:t>
      </w:r>
      <w:r>
        <w:rPr>
          <w:rFonts w:eastAsia="仿宋_GB2312"/>
          <w:szCs w:val="32"/>
        </w:rPr>
        <w:t>部委《关于持续加强稀土行业秩序整顿的通知》（工信部联原〔</w:t>
      </w:r>
      <w:r>
        <w:rPr>
          <w:rFonts w:eastAsia="仿宋_GB2312"/>
          <w:szCs w:val="32"/>
        </w:rPr>
        <w:t>2018</w:t>
      </w:r>
      <w:r>
        <w:rPr>
          <w:rFonts w:eastAsia="仿宋_GB2312"/>
          <w:szCs w:val="32"/>
        </w:rPr>
        <w:t>〕</w:t>
      </w:r>
      <w:r>
        <w:rPr>
          <w:rFonts w:eastAsia="仿宋_GB2312"/>
          <w:szCs w:val="32"/>
        </w:rPr>
        <w:t>265</w:t>
      </w:r>
      <w:r>
        <w:rPr>
          <w:rFonts w:eastAsia="仿宋_GB2312"/>
          <w:szCs w:val="32"/>
        </w:rPr>
        <w:t>号）、省工信厅等</w:t>
      </w:r>
      <w:r>
        <w:rPr>
          <w:rFonts w:eastAsia="仿宋_GB2312"/>
          <w:szCs w:val="32"/>
        </w:rPr>
        <w:t>10</w:t>
      </w:r>
      <w:r>
        <w:rPr>
          <w:rFonts w:eastAsia="仿宋_GB2312"/>
          <w:szCs w:val="32"/>
        </w:rPr>
        <w:t>部门《关于持续加强稀土行业秩序整顿的通知》（苏工信材料〔</w:t>
      </w:r>
      <w:r>
        <w:rPr>
          <w:rFonts w:eastAsia="仿宋_GB2312"/>
          <w:szCs w:val="32"/>
        </w:rPr>
        <w:t>2019</w:t>
      </w:r>
      <w:r>
        <w:rPr>
          <w:rFonts w:eastAsia="仿宋_GB2312"/>
          <w:szCs w:val="32"/>
        </w:rPr>
        <w:t>〕</w:t>
      </w:r>
      <w:r>
        <w:rPr>
          <w:rFonts w:eastAsia="仿宋_GB2312"/>
          <w:szCs w:val="32"/>
        </w:rPr>
        <w:t xml:space="preserve">352 </w:t>
      </w:r>
      <w:r>
        <w:rPr>
          <w:rFonts w:eastAsia="仿宋_GB2312"/>
          <w:szCs w:val="32"/>
        </w:rPr>
        <w:t>号）和苏州市政府办公室《关于印发苏州市持续加强稀土行业秩序整顿工作方案的通知》（苏府办〔</w:t>
      </w:r>
      <w:r>
        <w:rPr>
          <w:rFonts w:eastAsia="仿宋_GB2312"/>
          <w:szCs w:val="32"/>
        </w:rPr>
        <w:t>2019</w:t>
      </w:r>
      <w:r>
        <w:rPr>
          <w:rFonts w:eastAsia="仿宋_GB2312"/>
          <w:szCs w:val="32"/>
        </w:rPr>
        <w:t>〕</w:t>
      </w:r>
      <w:r>
        <w:rPr>
          <w:rFonts w:eastAsia="仿宋_GB2312"/>
          <w:szCs w:val="32"/>
        </w:rPr>
        <w:t>134</w:t>
      </w:r>
      <w:r>
        <w:rPr>
          <w:rFonts w:eastAsia="仿宋_GB2312"/>
          <w:szCs w:val="32"/>
        </w:rPr>
        <w:t>号）有关要求，坚决打击稀土违法违规行为，规范行业市场秩序，提升行业发展质量，现就我市持续加强稀土行业秩序整顿相关工作通知如下：</w:t>
      </w:r>
    </w:p>
    <w:p w:rsidR="00F70827" w:rsidRDefault="00F70827" w:rsidP="00F70827">
      <w:pPr>
        <w:spacing w:line="560" w:lineRule="exact"/>
        <w:ind w:firstLineChars="200" w:firstLine="630"/>
        <w:rPr>
          <w:rFonts w:eastAsia="黑体"/>
          <w:bCs/>
          <w:szCs w:val="32"/>
        </w:rPr>
      </w:pPr>
      <w:r>
        <w:rPr>
          <w:rFonts w:eastAsia="黑体"/>
          <w:bCs/>
          <w:szCs w:val="32"/>
        </w:rPr>
        <w:t>一、总体要求</w:t>
      </w:r>
    </w:p>
    <w:p w:rsidR="00F70827" w:rsidRDefault="00F70827" w:rsidP="00F70827">
      <w:pPr>
        <w:spacing w:line="560" w:lineRule="exact"/>
        <w:ind w:firstLineChars="200" w:firstLine="630"/>
        <w:rPr>
          <w:rFonts w:eastAsia="仿宋_GB2312"/>
          <w:szCs w:val="32"/>
        </w:rPr>
      </w:pPr>
      <w:r>
        <w:rPr>
          <w:rFonts w:eastAsia="仿宋_GB2312"/>
          <w:szCs w:val="32"/>
        </w:rPr>
        <w:t>坚持以习近平新时代中国特色社会主义思想为指导，全面贯彻落实党的十九大和十九届二中、三中全会精神，牢固树立新发展理念，坚持以供给侧结构性改革为主线，聚焦稀土行业秩序整顿中发现的突出问题，加大查处、惩戒力度，以建立常态化工作机制为重点，将督查贯穿于依法整顿全过程，切实落实稀土大集团管控和地方监管责任，实现稀土生产、流通以及进出口秩序规范有序，产品价格平稳合理，资源利用绿色环保，发展质量不断提升，稀土资源战略支撑作用得到有效发挥。</w:t>
      </w:r>
    </w:p>
    <w:p w:rsidR="00F70827" w:rsidRDefault="00F70827" w:rsidP="00F70827">
      <w:pPr>
        <w:spacing w:line="560" w:lineRule="exact"/>
        <w:ind w:firstLineChars="200" w:firstLine="630"/>
        <w:rPr>
          <w:rFonts w:eastAsia="黑体"/>
          <w:bCs/>
          <w:szCs w:val="32"/>
        </w:rPr>
      </w:pPr>
      <w:r>
        <w:rPr>
          <w:rFonts w:eastAsia="黑体"/>
          <w:bCs/>
          <w:szCs w:val="32"/>
        </w:rPr>
        <w:t>二、加强重点环节管理</w:t>
      </w:r>
    </w:p>
    <w:p w:rsidR="00F70827" w:rsidRDefault="00F70827" w:rsidP="00F70827">
      <w:pPr>
        <w:spacing w:line="560" w:lineRule="exact"/>
        <w:ind w:firstLineChars="200" w:firstLine="630"/>
        <w:rPr>
          <w:rFonts w:eastAsia="楷体_GB2312"/>
          <w:szCs w:val="32"/>
        </w:rPr>
      </w:pPr>
      <w:r>
        <w:rPr>
          <w:rFonts w:eastAsia="楷体_GB2312"/>
          <w:szCs w:val="32"/>
        </w:rPr>
        <w:lastRenderedPageBreak/>
        <w:t>（一）严格落实稀土冶炼分离计划</w:t>
      </w:r>
    </w:p>
    <w:p w:rsidR="00F70827" w:rsidRDefault="00F70827" w:rsidP="00F70827">
      <w:pPr>
        <w:spacing w:line="560" w:lineRule="exact"/>
        <w:ind w:firstLineChars="200" w:firstLine="630"/>
        <w:rPr>
          <w:rFonts w:eastAsia="仿宋_GB2312"/>
          <w:szCs w:val="32"/>
        </w:rPr>
      </w:pPr>
      <w:r>
        <w:rPr>
          <w:rFonts w:eastAsia="仿宋_GB2312"/>
          <w:szCs w:val="32"/>
        </w:rPr>
        <w:t>根据工信部下达的年度稀土冶炼分离总量控制计划，督促</w:t>
      </w:r>
      <w:r>
        <w:rPr>
          <w:rFonts w:eastAsia="仿宋_GB2312" w:hint="eastAsia"/>
          <w:szCs w:val="32"/>
        </w:rPr>
        <w:t>我市</w:t>
      </w:r>
      <w:r>
        <w:rPr>
          <w:rFonts w:eastAsia="仿宋_GB2312"/>
          <w:szCs w:val="32"/>
        </w:rPr>
        <w:t>相关企业及时、如实填报原材料采购（含进口矿采购数量）、实际产量、销售量、库存等信息。结合年度稀土冶炼分离总量控制计划、稀土产品追溯系统、稀土增值税专用发票开具量、资源税完税证明等数据，定期核查计划执行情况，严禁开展代加工业务。对存在无计划、超计划生产，收购、加工和倒卖非法稀土矿产品，进口手续一证多用，污染环境等违法违规行为的企业，要立即责令停产，依法依规严肃处理。（市工信局牵头，市公安局、生态环境局、应急局、税务局、市场监管局等主管部门按职责分工负责落实）</w:t>
      </w:r>
    </w:p>
    <w:p w:rsidR="00F70827" w:rsidRDefault="00F70827" w:rsidP="00F70827">
      <w:pPr>
        <w:spacing w:line="560" w:lineRule="exact"/>
        <w:ind w:firstLineChars="200" w:firstLine="630"/>
        <w:rPr>
          <w:rFonts w:eastAsia="楷体_GB2312"/>
          <w:szCs w:val="32"/>
        </w:rPr>
      </w:pPr>
      <w:r>
        <w:rPr>
          <w:rFonts w:eastAsia="楷体_GB2312"/>
          <w:szCs w:val="32"/>
        </w:rPr>
        <w:t>（二）规范资源综合利用企业</w:t>
      </w:r>
    </w:p>
    <w:p w:rsidR="00F70827" w:rsidRDefault="00F70827" w:rsidP="00F70827">
      <w:pPr>
        <w:spacing w:line="560" w:lineRule="exact"/>
        <w:ind w:firstLineChars="200" w:firstLine="630"/>
        <w:rPr>
          <w:rFonts w:eastAsia="仿宋_GB2312"/>
          <w:szCs w:val="32"/>
        </w:rPr>
      </w:pPr>
      <w:r>
        <w:rPr>
          <w:rFonts w:eastAsia="仿宋_GB2312"/>
          <w:szCs w:val="32"/>
        </w:rPr>
        <w:t>全面排查</w:t>
      </w:r>
      <w:r>
        <w:rPr>
          <w:rFonts w:eastAsia="仿宋_GB2312" w:hint="eastAsia"/>
          <w:szCs w:val="32"/>
        </w:rPr>
        <w:t>我市</w:t>
      </w:r>
      <w:r>
        <w:rPr>
          <w:rFonts w:eastAsia="仿宋_GB2312"/>
          <w:szCs w:val="32"/>
        </w:rPr>
        <w:t>现有的稀土资源综合利用企业，限定资源综合利用企业只能以稀土功能材料及器件废料等二次资源为原料，禁止以稀土矿（包括进口稀土矿）、富集物及稀土化合物等为原料，坚决整治以</w:t>
      </w:r>
      <w:r>
        <w:rPr>
          <w:rFonts w:eastAsia="仿宋_GB2312"/>
          <w:szCs w:val="32"/>
        </w:rPr>
        <w:t>“</w:t>
      </w:r>
      <w:r>
        <w:rPr>
          <w:rFonts w:eastAsia="仿宋_GB2312"/>
          <w:szCs w:val="32"/>
        </w:rPr>
        <w:t>综合利用为名</w:t>
      </w:r>
      <w:r>
        <w:rPr>
          <w:rFonts w:eastAsia="仿宋_GB2312"/>
          <w:szCs w:val="32"/>
        </w:rPr>
        <w:t>”</w:t>
      </w:r>
      <w:r>
        <w:rPr>
          <w:rFonts w:eastAsia="仿宋_GB2312"/>
          <w:szCs w:val="32"/>
        </w:rPr>
        <w:t>变相加工非法矿产品。严格落实《工业和信息化部关于规范稀土投资项目核准的指导意见》（工信部原〔</w:t>
      </w:r>
      <w:r>
        <w:rPr>
          <w:rFonts w:eastAsia="仿宋_GB2312"/>
          <w:szCs w:val="32"/>
        </w:rPr>
        <w:t>2017</w:t>
      </w:r>
      <w:r>
        <w:rPr>
          <w:rFonts w:eastAsia="仿宋_GB2312"/>
          <w:szCs w:val="32"/>
        </w:rPr>
        <w:t>〕</w:t>
      </w:r>
      <w:r>
        <w:rPr>
          <w:rFonts w:eastAsia="仿宋_GB2312"/>
          <w:szCs w:val="32"/>
        </w:rPr>
        <w:t>127</w:t>
      </w:r>
      <w:r>
        <w:rPr>
          <w:rFonts w:eastAsia="仿宋_GB2312"/>
          <w:szCs w:val="32"/>
        </w:rPr>
        <w:t>号）要求，严控新增稀土资源综合利用（含独居石处理）企业数量和规模，严禁以综合利用为名变相核准稀土冶炼分离项目，督促实际工艺、装备与核准文件不符的企业转产。（市工信局、发改委牵头，市生态环境局、市场监管局等主管部门按职责分工负责，各镇（区）人民政府（管委会）落实）</w:t>
      </w:r>
    </w:p>
    <w:p w:rsidR="00F70827" w:rsidRDefault="00F70827" w:rsidP="00F70827">
      <w:pPr>
        <w:spacing w:line="560" w:lineRule="exact"/>
        <w:ind w:firstLineChars="200" w:firstLine="630"/>
        <w:rPr>
          <w:rFonts w:eastAsia="楷体_GB2312"/>
          <w:szCs w:val="32"/>
        </w:rPr>
      </w:pPr>
      <w:r>
        <w:rPr>
          <w:rFonts w:eastAsia="楷体_GB2312"/>
          <w:szCs w:val="32"/>
        </w:rPr>
        <w:lastRenderedPageBreak/>
        <w:t>（三）强化产品流通监管</w:t>
      </w:r>
    </w:p>
    <w:p w:rsidR="00F70827" w:rsidRDefault="00F70827" w:rsidP="00F70827">
      <w:pPr>
        <w:spacing w:line="560" w:lineRule="exact"/>
        <w:ind w:firstLineChars="200" w:firstLine="630"/>
        <w:rPr>
          <w:rFonts w:eastAsia="仿宋_GB2312"/>
          <w:szCs w:val="32"/>
        </w:rPr>
      </w:pPr>
      <w:r>
        <w:rPr>
          <w:rFonts w:eastAsia="仿宋_GB2312"/>
          <w:szCs w:val="32"/>
        </w:rPr>
        <w:t>监督稀土矿产品、冶炼分离、废料回收、稀土金属等各类稀土企业如实开具稀土增值税专用发票，不得假冒品名。不定期检查稀土贸易企业，核实交易产品来源、数量，对买卖非法稀土产品，不开或虚开稀土增值税专用发票的企业，依法依规予以处理。严格落实稀土出口法定检验程序，做到批批必检。严格稀土出口许可证管理，重点关注出口异常企业，对经有关部门认定货源非法的出口企业，依法暂停其国内生产、销售，并停止核发企业出口许可证。加强对稀土产品进口管理，稀土矿产品进口应符合国家技术规范强制性要求，依法如实规范向海关申报，严禁伪报瞒报等不法行为。（市税务局、海关、商务局、市场监管局、工信局等主管部门按职责分工负责，各镇（区）人民政府（管委会）落实）</w:t>
      </w:r>
    </w:p>
    <w:p w:rsidR="00F70827" w:rsidRDefault="00F70827" w:rsidP="00F70827">
      <w:pPr>
        <w:spacing w:line="560" w:lineRule="exact"/>
        <w:ind w:firstLineChars="200" w:firstLine="630"/>
        <w:rPr>
          <w:rFonts w:eastAsia="黑体"/>
          <w:bCs/>
          <w:szCs w:val="32"/>
        </w:rPr>
      </w:pPr>
      <w:r>
        <w:rPr>
          <w:rFonts w:eastAsia="黑体"/>
          <w:bCs/>
          <w:szCs w:val="32"/>
        </w:rPr>
        <w:t>三、提升行业发展质量</w:t>
      </w:r>
    </w:p>
    <w:p w:rsidR="00F70827" w:rsidRDefault="00F70827" w:rsidP="00F70827">
      <w:pPr>
        <w:spacing w:line="560" w:lineRule="exact"/>
        <w:ind w:firstLineChars="200" w:firstLine="630"/>
        <w:rPr>
          <w:rFonts w:eastAsia="楷体_GB2312"/>
          <w:szCs w:val="32"/>
        </w:rPr>
      </w:pPr>
      <w:r>
        <w:rPr>
          <w:rFonts w:eastAsia="楷体_GB2312"/>
          <w:szCs w:val="32"/>
        </w:rPr>
        <w:t>（四）推进冶炼分离产能整合</w:t>
      </w:r>
    </w:p>
    <w:p w:rsidR="00F70827" w:rsidRDefault="00F70827" w:rsidP="00F70827">
      <w:pPr>
        <w:spacing w:line="560" w:lineRule="exact"/>
        <w:ind w:firstLineChars="200" w:firstLine="630"/>
        <w:rPr>
          <w:rFonts w:eastAsia="仿宋_GB2312"/>
          <w:szCs w:val="32"/>
        </w:rPr>
      </w:pPr>
      <w:r>
        <w:rPr>
          <w:rFonts w:eastAsia="仿宋_GB2312"/>
          <w:szCs w:val="32"/>
        </w:rPr>
        <w:t>综合考虑稀土产业政策、冶炼分离总量控制计划、市场需求等因素，围绕海外稀土资源进口平台、固废集中处置平台建设，在对现有冶炼分离产能进行全面梳理的基础上，制订冶炼分离产能整合方案，减少冶炼分离企业数量，提高冶炼分离产能利用率，优化资源配置。（市工信局、生态环境局按职责分工负责）</w:t>
      </w:r>
    </w:p>
    <w:p w:rsidR="00F70827" w:rsidRDefault="00F70827" w:rsidP="00F70827">
      <w:pPr>
        <w:spacing w:line="560" w:lineRule="exact"/>
        <w:ind w:firstLineChars="200" w:firstLine="630"/>
        <w:rPr>
          <w:rFonts w:eastAsia="楷体_GB2312"/>
          <w:szCs w:val="32"/>
        </w:rPr>
      </w:pPr>
      <w:r>
        <w:rPr>
          <w:rFonts w:eastAsia="楷体_GB2312"/>
          <w:szCs w:val="32"/>
        </w:rPr>
        <w:t>（五）促进绿色高效发展</w:t>
      </w:r>
    </w:p>
    <w:p w:rsidR="00F70827" w:rsidRDefault="00F70827" w:rsidP="00F70827">
      <w:pPr>
        <w:spacing w:line="560" w:lineRule="exact"/>
        <w:ind w:firstLineChars="200" w:firstLine="630"/>
        <w:rPr>
          <w:rFonts w:eastAsia="仿宋_GB2312"/>
          <w:szCs w:val="32"/>
        </w:rPr>
      </w:pPr>
      <w:r>
        <w:rPr>
          <w:rFonts w:eastAsia="仿宋_GB2312"/>
          <w:szCs w:val="32"/>
        </w:rPr>
        <w:t>支持</w:t>
      </w:r>
      <w:r>
        <w:rPr>
          <w:rFonts w:eastAsia="仿宋_GB2312" w:hint="eastAsia"/>
          <w:szCs w:val="32"/>
        </w:rPr>
        <w:t>我市</w:t>
      </w:r>
      <w:r>
        <w:rPr>
          <w:rFonts w:eastAsia="仿宋_GB2312"/>
          <w:szCs w:val="32"/>
        </w:rPr>
        <w:t>稀土企业和科研院所不断完善稀土冶炼分离技术</w:t>
      </w:r>
      <w:r>
        <w:rPr>
          <w:rFonts w:eastAsia="仿宋_GB2312"/>
          <w:szCs w:val="32"/>
        </w:rPr>
        <w:lastRenderedPageBreak/>
        <w:t>规范和标准，推广先进清洁生产技术，创建冶炼分离示范工厂。强化对稀土冶炼分离和资源综合利用企业的污染物排放和辐射安全监管，督促企业严格执行建设项目环境影响评价制度，落实建设项目环境保护</w:t>
      </w:r>
      <w:r>
        <w:rPr>
          <w:rFonts w:eastAsia="仿宋_GB2312"/>
          <w:szCs w:val="32"/>
        </w:rPr>
        <w:t>“</w:t>
      </w:r>
      <w:r>
        <w:rPr>
          <w:rFonts w:eastAsia="仿宋_GB2312"/>
          <w:szCs w:val="32"/>
        </w:rPr>
        <w:t>三同时</w:t>
      </w:r>
      <w:r>
        <w:rPr>
          <w:rFonts w:eastAsia="仿宋_GB2312"/>
          <w:szCs w:val="32"/>
        </w:rPr>
        <w:t>”</w:t>
      </w:r>
      <w:r>
        <w:rPr>
          <w:rFonts w:eastAsia="仿宋_GB2312"/>
          <w:szCs w:val="32"/>
        </w:rPr>
        <w:t>制度，加强稀土分离、烘干焙烧和烧结等工艺环节废气治理，实施稀土冶炼放射性废渣分类管理，按规定妥善处理处置含放射性废渣。对环评手续不全、污染物处理设施运行长期不正常，且超标排放的企业，依法依规处理处罚到位。（市生态环境局、市场监管局等主管部门按职责分工负责）</w:t>
      </w:r>
    </w:p>
    <w:p w:rsidR="00F70827" w:rsidRDefault="00F70827" w:rsidP="00F70827">
      <w:pPr>
        <w:spacing w:line="560" w:lineRule="exact"/>
        <w:ind w:firstLineChars="200" w:firstLine="630"/>
        <w:rPr>
          <w:rFonts w:eastAsia="楷体_GB2312"/>
          <w:szCs w:val="32"/>
        </w:rPr>
      </w:pPr>
      <w:r>
        <w:rPr>
          <w:rFonts w:eastAsia="楷体_GB2312"/>
          <w:szCs w:val="32"/>
        </w:rPr>
        <w:t>（六）积极推动功能应用</w:t>
      </w:r>
    </w:p>
    <w:p w:rsidR="00F70827" w:rsidRDefault="00F70827" w:rsidP="00F70827">
      <w:pPr>
        <w:spacing w:line="560" w:lineRule="exact"/>
        <w:ind w:firstLineChars="200" w:firstLine="630"/>
        <w:rPr>
          <w:rFonts w:eastAsia="仿宋_GB2312"/>
          <w:szCs w:val="32"/>
        </w:rPr>
      </w:pPr>
      <w:r>
        <w:rPr>
          <w:rFonts w:eastAsia="仿宋_GB2312"/>
          <w:szCs w:val="32"/>
        </w:rPr>
        <w:t>鼓励发展稀土深加工应用产业，充分利用现有政策支持稀土高端应用和智能化项目，提升稀土新材料产品质量和智能制造水平，促进镧、铈、钇等高丰度稀土元素应用。实施行业关键共性技术研发推广应用，提升行业竞争力。加强稀土新材料产学研用科技创新体系建设，推动稀土新材料供应商先期介入下游用户产品研发（</w:t>
      </w:r>
      <w:r>
        <w:rPr>
          <w:rFonts w:eastAsia="仿宋_GB2312"/>
          <w:szCs w:val="32"/>
        </w:rPr>
        <w:t>EVI</w:t>
      </w:r>
      <w:r>
        <w:rPr>
          <w:rFonts w:eastAsia="仿宋_GB2312"/>
          <w:szCs w:val="32"/>
        </w:rPr>
        <w:t>），促进上下游产业协同发展。（市工信局、发改委、财政局等主管部门按职责分工负责）</w:t>
      </w:r>
    </w:p>
    <w:p w:rsidR="00F70827" w:rsidRDefault="00F70827" w:rsidP="00F70827">
      <w:pPr>
        <w:spacing w:line="560" w:lineRule="exact"/>
        <w:ind w:firstLineChars="200" w:firstLine="630"/>
        <w:rPr>
          <w:rFonts w:eastAsia="黑体"/>
          <w:bCs/>
          <w:szCs w:val="32"/>
        </w:rPr>
      </w:pPr>
      <w:r>
        <w:rPr>
          <w:rFonts w:eastAsia="黑体"/>
          <w:bCs/>
          <w:szCs w:val="32"/>
        </w:rPr>
        <w:t>四、保障措施</w:t>
      </w:r>
    </w:p>
    <w:p w:rsidR="00F70827" w:rsidRDefault="00F70827" w:rsidP="00F70827">
      <w:pPr>
        <w:spacing w:line="560" w:lineRule="exact"/>
        <w:ind w:firstLineChars="200" w:firstLine="630"/>
        <w:rPr>
          <w:rFonts w:eastAsia="楷体_GB2312"/>
          <w:szCs w:val="32"/>
        </w:rPr>
      </w:pPr>
      <w:r>
        <w:rPr>
          <w:rFonts w:eastAsia="楷体_GB2312"/>
          <w:szCs w:val="32"/>
        </w:rPr>
        <w:t>（七）加强组织领导</w:t>
      </w:r>
    </w:p>
    <w:p w:rsidR="00F70827" w:rsidRDefault="00F70827" w:rsidP="00F70827">
      <w:pPr>
        <w:spacing w:line="560" w:lineRule="exact"/>
        <w:ind w:firstLine="641"/>
        <w:rPr>
          <w:rFonts w:eastAsia="仿宋_GB2312"/>
          <w:szCs w:val="32"/>
        </w:rPr>
      </w:pPr>
      <w:r>
        <w:rPr>
          <w:rFonts w:eastAsia="仿宋_GB2312"/>
          <w:szCs w:val="32"/>
        </w:rPr>
        <w:t>按照《国务院关于促进稀土行业持续健康发展的若干意见》（国发〔</w:t>
      </w:r>
      <w:r>
        <w:rPr>
          <w:rFonts w:eastAsia="仿宋_GB2312"/>
          <w:szCs w:val="32"/>
        </w:rPr>
        <w:t>2011</w:t>
      </w:r>
      <w:r>
        <w:rPr>
          <w:rFonts w:eastAsia="仿宋_GB2312"/>
          <w:szCs w:val="32"/>
        </w:rPr>
        <w:t>〕</w:t>
      </w:r>
      <w:r>
        <w:rPr>
          <w:rFonts w:eastAsia="仿宋_GB2312"/>
          <w:szCs w:val="32"/>
        </w:rPr>
        <w:t>12</w:t>
      </w:r>
      <w:r>
        <w:rPr>
          <w:rFonts w:eastAsia="仿宋_GB2312"/>
          <w:szCs w:val="32"/>
        </w:rPr>
        <w:t>号）有关要求，各镇（区）人民政府（管委会）对</w:t>
      </w:r>
      <w:r>
        <w:rPr>
          <w:rFonts w:eastAsia="仿宋_GB2312" w:hint="eastAsia"/>
          <w:szCs w:val="32"/>
        </w:rPr>
        <w:t>各自属地内</w:t>
      </w:r>
      <w:r>
        <w:rPr>
          <w:rFonts w:eastAsia="仿宋_GB2312"/>
          <w:szCs w:val="32"/>
        </w:rPr>
        <w:t>稀土行业的管理负总责，</w:t>
      </w:r>
      <w:r>
        <w:rPr>
          <w:rFonts w:eastAsia="仿宋_GB2312" w:hint="eastAsia"/>
          <w:szCs w:val="32"/>
        </w:rPr>
        <w:t>相关</w:t>
      </w:r>
      <w:r>
        <w:rPr>
          <w:rFonts w:eastAsia="仿宋_GB2312"/>
          <w:szCs w:val="32"/>
        </w:rPr>
        <w:t>部门按职能分工负责。各镇（区）人民政府（管委会）要进一步制定配套的工作机制，</w:t>
      </w:r>
      <w:r>
        <w:rPr>
          <w:rFonts w:eastAsia="仿宋_GB2312"/>
          <w:szCs w:val="32"/>
        </w:rPr>
        <w:lastRenderedPageBreak/>
        <w:t>层层落实责任，统筹做好稀土行业秩序整顿工作。</w:t>
      </w:r>
    </w:p>
    <w:p w:rsidR="00F70827" w:rsidRDefault="00F70827" w:rsidP="00F70827">
      <w:pPr>
        <w:spacing w:line="560" w:lineRule="exact"/>
        <w:ind w:firstLine="641"/>
        <w:rPr>
          <w:rFonts w:eastAsia="仿宋_GB2312"/>
          <w:szCs w:val="32"/>
        </w:rPr>
      </w:pPr>
      <w:r>
        <w:rPr>
          <w:rFonts w:eastAsia="仿宋_GB2312"/>
          <w:szCs w:val="32"/>
        </w:rPr>
        <w:t>相关职能部门要在市政府的领导下按分工开展稀土违法违规行为打击整治工作，针对稀土冶炼分离企业、稀土资源综合利用企业和稀土商贸流通企业的违法违规行为，通过严格落实稀土项目管理要求、依法查处安全生产和环境违法行为、严格稀土进出口管理、核查稀土增值税专用发票开具、公示违法违规企业行政处罚、侦办涉嫌犯罪案件等相关措施，全面加强稀土行业秩序整顿工作力度。</w:t>
      </w:r>
    </w:p>
    <w:p w:rsidR="00F70827" w:rsidRDefault="00F70827" w:rsidP="00F70827">
      <w:pPr>
        <w:spacing w:line="560" w:lineRule="exact"/>
        <w:ind w:firstLineChars="200" w:firstLine="630"/>
        <w:rPr>
          <w:rFonts w:eastAsia="楷体_GB2312"/>
          <w:szCs w:val="32"/>
        </w:rPr>
      </w:pPr>
      <w:r>
        <w:rPr>
          <w:rFonts w:eastAsia="楷体_GB2312"/>
          <w:szCs w:val="32"/>
        </w:rPr>
        <w:t>（八）建立信息共享和工作总结报送机制</w:t>
      </w:r>
    </w:p>
    <w:p w:rsidR="00F70827" w:rsidRDefault="00F70827" w:rsidP="00F70827">
      <w:pPr>
        <w:spacing w:line="560" w:lineRule="exact"/>
        <w:ind w:firstLine="641"/>
        <w:rPr>
          <w:rFonts w:eastAsia="仿宋_GB2312"/>
          <w:szCs w:val="32"/>
        </w:rPr>
      </w:pPr>
      <w:r>
        <w:rPr>
          <w:rFonts w:eastAsia="仿宋_GB2312"/>
          <w:szCs w:val="32"/>
        </w:rPr>
        <w:t>市相关部门</w:t>
      </w:r>
      <w:r>
        <w:rPr>
          <w:rFonts w:eastAsia="仿宋_GB2312" w:hint="eastAsia"/>
          <w:szCs w:val="32"/>
        </w:rPr>
        <w:t>要</w:t>
      </w:r>
      <w:r>
        <w:rPr>
          <w:rFonts w:eastAsia="仿宋_GB2312"/>
          <w:szCs w:val="32"/>
        </w:rPr>
        <w:t>建立信息共享机制，确保稀土企业注册登记、项目备案、冶炼分离总量控制计划、稀土发票、进出口数据等信息在部门间实现共享。各镇（区）人民政府（管委会）及有关部门要于每年</w:t>
      </w:r>
      <w:r>
        <w:rPr>
          <w:rFonts w:eastAsia="仿宋_GB2312"/>
          <w:szCs w:val="32"/>
        </w:rPr>
        <w:t>11</w:t>
      </w:r>
      <w:r>
        <w:rPr>
          <w:rFonts w:eastAsia="仿宋_GB2312"/>
          <w:szCs w:val="32"/>
        </w:rPr>
        <w:t>月</w:t>
      </w:r>
      <w:r>
        <w:rPr>
          <w:rFonts w:eastAsia="仿宋_GB2312"/>
          <w:szCs w:val="32"/>
        </w:rPr>
        <w:t>15</w:t>
      </w:r>
      <w:r>
        <w:rPr>
          <w:rFonts w:eastAsia="仿宋_GB2312"/>
          <w:szCs w:val="32"/>
        </w:rPr>
        <w:t>日前将年度稀土行业秩序整顿工作总结书面报送市工信局。</w:t>
      </w:r>
    </w:p>
    <w:p w:rsidR="00F70827" w:rsidRDefault="00F70827" w:rsidP="00F70827">
      <w:pPr>
        <w:spacing w:line="560" w:lineRule="exact"/>
        <w:ind w:firstLineChars="200" w:firstLine="630"/>
        <w:rPr>
          <w:rFonts w:eastAsia="楷体_GB2312"/>
          <w:color w:val="000000"/>
          <w:szCs w:val="32"/>
        </w:rPr>
      </w:pPr>
      <w:r>
        <w:rPr>
          <w:rFonts w:eastAsia="楷体_GB2312"/>
          <w:color w:val="000000"/>
          <w:szCs w:val="32"/>
        </w:rPr>
        <w:t>（九）健全督查机制</w:t>
      </w:r>
    </w:p>
    <w:p w:rsidR="00F70827" w:rsidRDefault="00F70827" w:rsidP="00F70827">
      <w:pPr>
        <w:spacing w:line="560" w:lineRule="exact"/>
        <w:ind w:firstLineChars="200" w:firstLine="630"/>
        <w:rPr>
          <w:rFonts w:eastAsia="仿宋_GB2312"/>
          <w:color w:val="000000"/>
          <w:szCs w:val="32"/>
        </w:rPr>
      </w:pPr>
      <w:r>
        <w:rPr>
          <w:rFonts w:eastAsia="仿宋_GB2312"/>
          <w:szCs w:val="32"/>
        </w:rPr>
        <w:t>各镇（区）人民政府（管委会）</w:t>
      </w:r>
      <w:r>
        <w:rPr>
          <w:rFonts w:eastAsia="仿宋_GB2312"/>
          <w:color w:val="000000"/>
          <w:szCs w:val="32"/>
        </w:rPr>
        <w:t>要开展稀土行业秩序的专项督查，重点查处无计划、超计划生产；采购、加工、销售非法稀土矿产品等违法违规行为。市政府将组织相关部门建立联合督查机制，定期进行市级督查，生产环节由工信部门牵头，流通环节由商务部门牵头。对存在工作进展缓慢、政策长期不落实、玩忽职守，参与、纵容甚至包庇违法违规活动等行为的</w:t>
      </w:r>
      <w:r>
        <w:rPr>
          <w:rFonts w:eastAsia="仿宋_GB2312" w:hint="eastAsia"/>
          <w:color w:val="000000"/>
          <w:szCs w:val="32"/>
        </w:rPr>
        <w:t>镇（区）</w:t>
      </w:r>
      <w:r>
        <w:rPr>
          <w:rFonts w:eastAsia="仿宋_GB2312"/>
          <w:color w:val="000000"/>
          <w:szCs w:val="32"/>
        </w:rPr>
        <w:t>和企业，市政府</w:t>
      </w:r>
      <w:r>
        <w:rPr>
          <w:rFonts w:eastAsia="仿宋_GB2312" w:hint="eastAsia"/>
          <w:color w:val="000000"/>
          <w:szCs w:val="32"/>
        </w:rPr>
        <w:t>将</w:t>
      </w:r>
      <w:r>
        <w:rPr>
          <w:rFonts w:eastAsia="仿宋_GB2312"/>
          <w:color w:val="000000"/>
          <w:szCs w:val="32"/>
        </w:rPr>
        <w:t>予以通报批评，并依法依纪追究相关人员责任。</w:t>
      </w:r>
    </w:p>
    <w:p w:rsidR="00F70827" w:rsidRDefault="00F70827" w:rsidP="00F70827">
      <w:pPr>
        <w:spacing w:line="560" w:lineRule="exact"/>
        <w:ind w:firstLineChars="200" w:firstLine="630"/>
        <w:rPr>
          <w:rFonts w:eastAsia="楷体_GB2312"/>
          <w:color w:val="000000"/>
          <w:szCs w:val="32"/>
        </w:rPr>
      </w:pPr>
      <w:r>
        <w:rPr>
          <w:rFonts w:eastAsia="楷体_GB2312"/>
          <w:color w:val="000000"/>
          <w:szCs w:val="32"/>
        </w:rPr>
        <w:lastRenderedPageBreak/>
        <w:t>（十）畅通举报渠道</w:t>
      </w:r>
    </w:p>
    <w:p w:rsidR="00F70827" w:rsidRDefault="00F70827" w:rsidP="00F70827">
      <w:pPr>
        <w:spacing w:line="560" w:lineRule="exact"/>
        <w:ind w:firstLineChars="200" w:firstLine="630"/>
        <w:rPr>
          <w:rFonts w:eastAsia="仿宋_GB2312"/>
          <w:color w:val="000000"/>
          <w:szCs w:val="32"/>
        </w:rPr>
      </w:pPr>
      <w:r>
        <w:rPr>
          <w:rFonts w:eastAsia="仿宋_GB2312"/>
          <w:color w:val="000000"/>
          <w:szCs w:val="32"/>
        </w:rPr>
        <w:t>各地</w:t>
      </w:r>
      <w:r>
        <w:rPr>
          <w:rFonts w:eastAsia="仿宋_GB2312" w:hint="eastAsia"/>
          <w:color w:val="000000"/>
          <w:szCs w:val="32"/>
        </w:rPr>
        <w:t>、</w:t>
      </w:r>
      <w:r>
        <w:rPr>
          <w:rFonts w:eastAsia="仿宋_GB2312"/>
          <w:color w:val="000000"/>
          <w:szCs w:val="32"/>
        </w:rPr>
        <w:t>各部门要充分利用政府网站、媒体等途径发布举报方式，及时将群众举报、媒体曝光的违法违规行为线索通报相关部门，并及时反馈查处结果。利用各自门户网站及时通报和曝光典型案件，宣传工作成效。面向政府工作人员、行业从业人员开展培训，不断提升责任意识。</w:t>
      </w:r>
    </w:p>
    <w:p w:rsidR="00F70827" w:rsidRDefault="00F70827" w:rsidP="00F70827">
      <w:pPr>
        <w:spacing w:line="560" w:lineRule="exact"/>
        <w:ind w:firstLineChars="200" w:firstLine="630"/>
        <w:rPr>
          <w:rFonts w:eastAsia="楷体_GB2312"/>
          <w:color w:val="000000"/>
          <w:szCs w:val="32"/>
        </w:rPr>
      </w:pPr>
      <w:r>
        <w:rPr>
          <w:rFonts w:eastAsia="楷体_GB2312"/>
          <w:color w:val="000000"/>
          <w:szCs w:val="32"/>
        </w:rPr>
        <w:t>（十一）加大处罚力度</w:t>
      </w:r>
    </w:p>
    <w:p w:rsidR="00F70827" w:rsidRDefault="00F70827" w:rsidP="00F70827">
      <w:pPr>
        <w:spacing w:line="560" w:lineRule="exact"/>
        <w:ind w:firstLineChars="200" w:firstLine="630"/>
        <w:rPr>
          <w:rFonts w:eastAsia="黑体"/>
          <w:bCs/>
          <w:szCs w:val="32"/>
        </w:rPr>
      </w:pPr>
      <w:r>
        <w:rPr>
          <w:rFonts w:eastAsia="仿宋_GB2312"/>
          <w:color w:val="000000"/>
          <w:szCs w:val="32"/>
        </w:rPr>
        <w:t>充分利用生态环境、安全生产、税务、海关等领域现行法律法规，依法依规从严惩处，震慑违法分子。健全企业</w:t>
      </w:r>
      <w:r>
        <w:rPr>
          <w:rFonts w:eastAsia="仿宋_GB2312"/>
          <w:color w:val="000000"/>
          <w:szCs w:val="32"/>
        </w:rPr>
        <w:t>“</w:t>
      </w:r>
      <w:r>
        <w:rPr>
          <w:rFonts w:eastAsia="仿宋_GB2312"/>
          <w:color w:val="000000"/>
          <w:szCs w:val="32"/>
        </w:rPr>
        <w:t>黑名单</w:t>
      </w:r>
      <w:r>
        <w:rPr>
          <w:rFonts w:eastAsia="仿宋_GB2312"/>
          <w:color w:val="000000"/>
          <w:szCs w:val="32"/>
        </w:rPr>
        <w:t>”</w:t>
      </w:r>
      <w:r>
        <w:rPr>
          <w:rFonts w:eastAsia="仿宋_GB2312"/>
          <w:color w:val="000000"/>
          <w:szCs w:val="32"/>
        </w:rPr>
        <w:t>制度，限制不良记录企业享受贷款、上市、评级等政策。</w:t>
      </w:r>
    </w:p>
    <w:p w:rsidR="00F70827" w:rsidRDefault="00F70827" w:rsidP="00F70827">
      <w:pPr>
        <w:spacing w:line="560" w:lineRule="exact"/>
        <w:ind w:firstLineChars="200" w:firstLine="630"/>
        <w:rPr>
          <w:rFonts w:eastAsia="黑体"/>
          <w:bCs/>
          <w:szCs w:val="32"/>
        </w:rPr>
      </w:pPr>
      <w:r>
        <w:rPr>
          <w:rFonts w:eastAsia="黑体"/>
          <w:bCs/>
          <w:szCs w:val="32"/>
        </w:rPr>
        <w:t>五、工作实施计划</w:t>
      </w:r>
    </w:p>
    <w:p w:rsidR="00F70827" w:rsidRDefault="00F70827" w:rsidP="00F70827">
      <w:pPr>
        <w:spacing w:line="560" w:lineRule="exact"/>
        <w:ind w:firstLineChars="200" w:firstLine="630"/>
        <w:rPr>
          <w:rFonts w:eastAsia="楷体_GB2312"/>
          <w:color w:val="000000"/>
          <w:szCs w:val="32"/>
        </w:rPr>
      </w:pPr>
      <w:r>
        <w:rPr>
          <w:rFonts w:eastAsia="楷体_GB2312"/>
          <w:color w:val="000000"/>
          <w:szCs w:val="32"/>
        </w:rPr>
        <w:t>（十二）全面开展自查（</w:t>
      </w:r>
      <w:r>
        <w:rPr>
          <w:rFonts w:eastAsia="楷体_GB2312"/>
          <w:color w:val="000000"/>
          <w:szCs w:val="32"/>
        </w:rPr>
        <w:t>2019</w:t>
      </w:r>
      <w:r>
        <w:rPr>
          <w:rFonts w:eastAsia="楷体_GB2312"/>
          <w:color w:val="000000"/>
          <w:szCs w:val="32"/>
        </w:rPr>
        <w:t>年</w:t>
      </w:r>
      <w:r>
        <w:rPr>
          <w:rFonts w:eastAsia="楷体_GB2312"/>
          <w:color w:val="000000"/>
          <w:szCs w:val="32"/>
        </w:rPr>
        <w:t>7</w:t>
      </w:r>
      <w:r>
        <w:rPr>
          <w:rFonts w:eastAsia="楷体_GB2312"/>
          <w:color w:val="000000"/>
          <w:szCs w:val="32"/>
        </w:rPr>
        <w:t>月</w:t>
      </w:r>
      <w:r>
        <w:rPr>
          <w:rFonts w:eastAsia="楷体_GB2312"/>
          <w:color w:val="000000"/>
          <w:szCs w:val="32"/>
        </w:rPr>
        <w:t>1</w:t>
      </w:r>
      <w:r>
        <w:rPr>
          <w:rFonts w:eastAsia="楷体_GB2312"/>
          <w:color w:val="000000"/>
          <w:szCs w:val="32"/>
        </w:rPr>
        <w:t>日</w:t>
      </w:r>
      <w:r>
        <w:rPr>
          <w:rFonts w:eastAsia="楷体_GB2312"/>
          <w:color w:val="000000"/>
          <w:szCs w:val="32"/>
        </w:rPr>
        <w:t>—</w:t>
      </w:r>
      <w:r>
        <w:rPr>
          <w:rFonts w:eastAsia="楷体_GB2312"/>
          <w:color w:val="000000"/>
          <w:szCs w:val="32"/>
        </w:rPr>
        <w:t>7</w:t>
      </w:r>
      <w:r>
        <w:rPr>
          <w:rFonts w:eastAsia="楷体_GB2312"/>
          <w:color w:val="000000"/>
          <w:szCs w:val="32"/>
        </w:rPr>
        <w:t>月</w:t>
      </w:r>
      <w:r>
        <w:rPr>
          <w:rFonts w:eastAsia="楷体_GB2312"/>
          <w:color w:val="000000"/>
          <w:szCs w:val="32"/>
        </w:rPr>
        <w:t>31</w:t>
      </w:r>
      <w:r>
        <w:rPr>
          <w:rFonts w:eastAsia="楷体_GB2312"/>
          <w:color w:val="000000"/>
          <w:szCs w:val="32"/>
        </w:rPr>
        <w:t>日）</w:t>
      </w:r>
    </w:p>
    <w:p w:rsidR="00F70827" w:rsidRDefault="00F70827" w:rsidP="00F70827">
      <w:pPr>
        <w:spacing w:line="560" w:lineRule="exact"/>
        <w:ind w:firstLineChars="200" w:firstLine="630"/>
        <w:rPr>
          <w:rFonts w:eastAsia="仿宋_GB2312"/>
          <w:szCs w:val="32"/>
        </w:rPr>
      </w:pPr>
      <w:r>
        <w:rPr>
          <w:rFonts w:eastAsia="仿宋_GB2312"/>
          <w:szCs w:val="32"/>
        </w:rPr>
        <w:t>各镇（区）人民政府（管委会）根据整治工作内容和要求，形成</w:t>
      </w:r>
      <w:r>
        <w:rPr>
          <w:rFonts w:eastAsia="仿宋_GB2312"/>
          <w:szCs w:val="32"/>
        </w:rPr>
        <w:t>2019</w:t>
      </w:r>
      <w:r>
        <w:rPr>
          <w:rFonts w:eastAsia="仿宋_GB2312"/>
          <w:szCs w:val="32"/>
        </w:rPr>
        <w:t>年专项核查工作方案，对</w:t>
      </w:r>
      <w:r>
        <w:rPr>
          <w:rFonts w:eastAsia="仿宋_GB2312" w:hint="eastAsia"/>
          <w:szCs w:val="32"/>
        </w:rPr>
        <w:t>各自属地</w:t>
      </w:r>
      <w:r>
        <w:rPr>
          <w:rFonts w:eastAsia="仿宋_GB2312"/>
          <w:szCs w:val="32"/>
        </w:rPr>
        <w:t>内的冶炼分离、综合利用和贸易企业开展全面排查。重点排查稀土企业</w:t>
      </w:r>
      <w:r>
        <w:rPr>
          <w:rFonts w:eastAsia="仿宋_GB2312"/>
          <w:szCs w:val="32"/>
        </w:rPr>
        <w:t>2018</w:t>
      </w:r>
      <w:r>
        <w:rPr>
          <w:rFonts w:eastAsia="仿宋_GB2312"/>
          <w:szCs w:val="32"/>
        </w:rPr>
        <w:t>年以来稀土矿、富集物、稀土氧化物的采购、加工生产、销售、库存；稀土增值税专用发票开具、资源税完税证明、稀土矿进口手续、安全环保等情况，组织企业认真填写自查表（附件</w:t>
      </w:r>
      <w:r>
        <w:rPr>
          <w:rFonts w:eastAsia="仿宋_GB2312"/>
          <w:szCs w:val="32"/>
        </w:rPr>
        <w:t>1</w:t>
      </w:r>
      <w:r>
        <w:rPr>
          <w:rFonts w:eastAsia="仿宋_GB2312"/>
          <w:szCs w:val="32"/>
        </w:rPr>
        <w:t>），对存在问题的企业提出处理意见，依法追究相关个人和企业的责任。</w:t>
      </w:r>
    </w:p>
    <w:p w:rsidR="00F70827" w:rsidRDefault="00F70827" w:rsidP="00F70827">
      <w:pPr>
        <w:spacing w:line="560" w:lineRule="exact"/>
        <w:ind w:firstLineChars="200" w:firstLine="630"/>
        <w:rPr>
          <w:rFonts w:eastAsia="楷体_GB2312"/>
          <w:color w:val="000000"/>
          <w:szCs w:val="32"/>
        </w:rPr>
      </w:pPr>
      <w:r>
        <w:rPr>
          <w:rFonts w:eastAsia="楷体_GB2312"/>
          <w:color w:val="000000"/>
          <w:szCs w:val="32"/>
        </w:rPr>
        <w:t>（十三）组织开展专项督查（</w:t>
      </w:r>
      <w:r>
        <w:rPr>
          <w:rFonts w:eastAsia="楷体_GB2312"/>
          <w:color w:val="000000"/>
          <w:szCs w:val="32"/>
        </w:rPr>
        <w:t>2019</w:t>
      </w:r>
      <w:r>
        <w:rPr>
          <w:rFonts w:eastAsia="楷体_GB2312"/>
          <w:color w:val="000000"/>
          <w:szCs w:val="32"/>
        </w:rPr>
        <w:t>年</w:t>
      </w:r>
      <w:r>
        <w:rPr>
          <w:rFonts w:eastAsia="楷体_GB2312"/>
          <w:color w:val="000000"/>
          <w:szCs w:val="32"/>
        </w:rPr>
        <w:t>8</w:t>
      </w:r>
      <w:r>
        <w:rPr>
          <w:rFonts w:eastAsia="楷体_GB2312"/>
          <w:color w:val="000000"/>
          <w:szCs w:val="32"/>
        </w:rPr>
        <w:t>月</w:t>
      </w:r>
      <w:r>
        <w:rPr>
          <w:rFonts w:eastAsia="楷体_GB2312"/>
          <w:color w:val="000000"/>
          <w:szCs w:val="32"/>
        </w:rPr>
        <w:t>1</w:t>
      </w:r>
      <w:r>
        <w:rPr>
          <w:rFonts w:eastAsia="楷体_GB2312"/>
          <w:color w:val="000000"/>
          <w:szCs w:val="32"/>
        </w:rPr>
        <w:t>日</w:t>
      </w:r>
      <w:r>
        <w:rPr>
          <w:rFonts w:eastAsia="楷体_GB2312"/>
          <w:color w:val="000000"/>
          <w:szCs w:val="32"/>
        </w:rPr>
        <w:t>-8</w:t>
      </w:r>
      <w:r>
        <w:rPr>
          <w:rFonts w:eastAsia="楷体_GB2312"/>
          <w:color w:val="000000"/>
          <w:szCs w:val="32"/>
        </w:rPr>
        <w:t>月</w:t>
      </w:r>
      <w:r>
        <w:rPr>
          <w:rFonts w:eastAsia="楷体_GB2312"/>
          <w:color w:val="000000"/>
          <w:szCs w:val="32"/>
        </w:rPr>
        <w:t>31</w:t>
      </w:r>
      <w:r>
        <w:rPr>
          <w:rFonts w:eastAsia="楷体_GB2312"/>
          <w:color w:val="000000"/>
          <w:szCs w:val="32"/>
        </w:rPr>
        <w:t>日）</w:t>
      </w:r>
    </w:p>
    <w:p w:rsidR="00F70827" w:rsidRDefault="00F70827" w:rsidP="00F70827">
      <w:pPr>
        <w:spacing w:line="560" w:lineRule="exact"/>
        <w:ind w:firstLineChars="200" w:firstLine="630"/>
        <w:rPr>
          <w:rFonts w:eastAsia="仿宋_GB2312"/>
          <w:szCs w:val="32"/>
        </w:rPr>
      </w:pPr>
      <w:r>
        <w:rPr>
          <w:rFonts w:eastAsia="仿宋_GB2312"/>
          <w:szCs w:val="32"/>
        </w:rPr>
        <w:t>市政府组织相关部门配合</w:t>
      </w:r>
      <w:r>
        <w:rPr>
          <w:rFonts w:eastAsia="仿宋_GB2312" w:hint="eastAsia"/>
          <w:szCs w:val="32"/>
        </w:rPr>
        <w:t>苏州</w:t>
      </w:r>
      <w:bookmarkStart w:id="1" w:name="_GoBack"/>
      <w:bookmarkEnd w:id="1"/>
      <w:r>
        <w:rPr>
          <w:rFonts w:eastAsia="仿宋_GB2312"/>
          <w:szCs w:val="32"/>
        </w:rPr>
        <w:t>市督查组对各镇（区）稀土行业秩序整顿工作部署和落实情况开展专项督查（附件</w:t>
      </w:r>
      <w:r>
        <w:rPr>
          <w:rFonts w:eastAsia="仿宋_GB2312"/>
          <w:szCs w:val="32"/>
        </w:rPr>
        <w:t>2</w:t>
      </w:r>
      <w:r>
        <w:rPr>
          <w:rFonts w:eastAsia="仿宋_GB2312"/>
          <w:szCs w:val="32"/>
        </w:rPr>
        <w:t>），将督</w:t>
      </w:r>
      <w:r>
        <w:rPr>
          <w:rFonts w:eastAsia="仿宋_GB2312"/>
          <w:szCs w:val="32"/>
        </w:rPr>
        <w:lastRenderedPageBreak/>
        <w:t>查中发现的问题以及人民来信等反映的线索及时反馈各镇（区）人民政府（管委会），形成督查报告报送至苏州市稀土行业秩序整顿领导小组。</w:t>
      </w:r>
    </w:p>
    <w:p w:rsidR="00F70827" w:rsidRDefault="00F70827" w:rsidP="00F70827">
      <w:pPr>
        <w:spacing w:line="560" w:lineRule="exact"/>
        <w:ind w:firstLineChars="200" w:firstLine="630"/>
        <w:rPr>
          <w:rFonts w:eastAsia="楷体_GB2312"/>
          <w:color w:val="000000"/>
          <w:szCs w:val="32"/>
        </w:rPr>
      </w:pPr>
      <w:r>
        <w:rPr>
          <w:rFonts w:eastAsia="楷体_GB2312"/>
          <w:color w:val="000000"/>
          <w:szCs w:val="32"/>
        </w:rPr>
        <w:t>（十四）及时报送工作总结</w:t>
      </w:r>
    </w:p>
    <w:p w:rsidR="00F70827" w:rsidRDefault="00F70827" w:rsidP="00F70827">
      <w:pPr>
        <w:spacing w:line="560" w:lineRule="exact"/>
        <w:ind w:firstLineChars="200" w:firstLine="630"/>
        <w:rPr>
          <w:rFonts w:eastAsia="仿宋_GB2312"/>
          <w:szCs w:val="32"/>
        </w:rPr>
      </w:pPr>
      <w:r>
        <w:rPr>
          <w:rFonts w:eastAsia="仿宋_GB2312"/>
          <w:szCs w:val="32"/>
        </w:rPr>
        <w:t>各镇（区）根据核查情况，填写自查汇总表（附件</w:t>
      </w:r>
      <w:r>
        <w:rPr>
          <w:rFonts w:eastAsia="仿宋_GB2312"/>
          <w:szCs w:val="32"/>
        </w:rPr>
        <w:t>3</w:t>
      </w:r>
      <w:r>
        <w:rPr>
          <w:rFonts w:eastAsia="仿宋_GB2312"/>
          <w:szCs w:val="32"/>
        </w:rPr>
        <w:t>），并按照提纲格式形成书面自查报告（附件</w:t>
      </w:r>
      <w:r>
        <w:rPr>
          <w:rFonts w:eastAsia="仿宋_GB2312"/>
          <w:szCs w:val="32"/>
        </w:rPr>
        <w:t>4</w:t>
      </w:r>
      <w:r>
        <w:rPr>
          <w:rFonts w:eastAsia="仿宋_GB2312"/>
          <w:szCs w:val="32"/>
        </w:rPr>
        <w:t>），于</w:t>
      </w:r>
      <w:r>
        <w:rPr>
          <w:rFonts w:eastAsia="仿宋_GB2312"/>
          <w:szCs w:val="32"/>
        </w:rPr>
        <w:t>2019</w:t>
      </w:r>
      <w:r>
        <w:rPr>
          <w:rFonts w:eastAsia="仿宋_GB2312"/>
          <w:szCs w:val="32"/>
        </w:rPr>
        <w:t>年</w:t>
      </w:r>
      <w:r>
        <w:rPr>
          <w:rFonts w:eastAsia="仿宋_GB2312"/>
          <w:szCs w:val="32"/>
        </w:rPr>
        <w:t>8</w:t>
      </w:r>
      <w:r>
        <w:rPr>
          <w:rFonts w:eastAsia="仿宋_GB2312"/>
          <w:szCs w:val="32"/>
        </w:rPr>
        <w:t>月</w:t>
      </w:r>
      <w:r>
        <w:rPr>
          <w:rFonts w:eastAsia="仿宋_GB2312"/>
          <w:szCs w:val="32"/>
        </w:rPr>
        <w:t>13</w:t>
      </w:r>
      <w:r>
        <w:rPr>
          <w:rFonts w:eastAsia="仿宋_GB2312"/>
          <w:szCs w:val="32"/>
        </w:rPr>
        <w:t>日前上报市工信局。市工信局在各镇</w:t>
      </w:r>
      <w:r>
        <w:rPr>
          <w:rFonts w:eastAsia="仿宋_GB2312" w:hint="eastAsia"/>
          <w:szCs w:val="32"/>
        </w:rPr>
        <w:t>（区）</w:t>
      </w:r>
      <w:r>
        <w:rPr>
          <w:rFonts w:eastAsia="仿宋_GB2312"/>
          <w:szCs w:val="32"/>
        </w:rPr>
        <w:t>自查和苏州市有关部门专项督查的基础上，形成全市稀土行业秩序顿工作总结，于</w:t>
      </w:r>
      <w:r>
        <w:rPr>
          <w:rFonts w:eastAsia="仿宋_GB2312"/>
          <w:szCs w:val="32"/>
        </w:rPr>
        <w:t>8</w:t>
      </w:r>
      <w:r>
        <w:rPr>
          <w:rFonts w:eastAsia="仿宋_GB2312"/>
          <w:szCs w:val="32"/>
        </w:rPr>
        <w:t>月底前上报苏州市工信局。</w:t>
      </w:r>
    </w:p>
    <w:p w:rsidR="00A40150" w:rsidRDefault="00A40150" w:rsidP="00F70827">
      <w:pPr>
        <w:spacing w:line="560" w:lineRule="exact"/>
        <w:ind w:firstLineChars="200" w:firstLine="630"/>
        <w:rPr>
          <w:rFonts w:eastAsia="仿宋_GB2312" w:hint="eastAsia"/>
          <w:szCs w:val="32"/>
        </w:rPr>
      </w:pPr>
    </w:p>
    <w:p w:rsidR="00F70827" w:rsidRDefault="00F70827" w:rsidP="00F70827">
      <w:pPr>
        <w:spacing w:line="560" w:lineRule="exact"/>
        <w:ind w:firstLineChars="200" w:firstLine="630"/>
        <w:rPr>
          <w:rFonts w:eastAsia="仿宋_GB2312"/>
          <w:szCs w:val="32"/>
        </w:rPr>
      </w:pPr>
      <w:r>
        <w:rPr>
          <w:rFonts w:eastAsia="仿宋_GB2312"/>
          <w:szCs w:val="32"/>
        </w:rPr>
        <w:t>附件：</w:t>
      </w:r>
      <w:r>
        <w:rPr>
          <w:rFonts w:eastAsia="仿宋_GB2312"/>
          <w:szCs w:val="32"/>
        </w:rPr>
        <w:t>1</w:t>
      </w:r>
      <w:r>
        <w:rPr>
          <w:rFonts w:eastAsia="仿宋_GB2312" w:hint="eastAsia"/>
          <w:szCs w:val="32"/>
        </w:rPr>
        <w:t>．</w:t>
      </w:r>
      <w:r>
        <w:rPr>
          <w:rFonts w:eastAsia="仿宋_GB2312"/>
          <w:szCs w:val="32"/>
        </w:rPr>
        <w:t>企业自查表</w:t>
      </w:r>
    </w:p>
    <w:p w:rsidR="00F70827" w:rsidRDefault="00F70827" w:rsidP="00F70827">
      <w:pPr>
        <w:spacing w:line="560" w:lineRule="exact"/>
        <w:ind w:firstLineChars="200" w:firstLine="630"/>
        <w:rPr>
          <w:rFonts w:eastAsia="仿宋_GB2312"/>
          <w:szCs w:val="32"/>
        </w:rPr>
      </w:pPr>
      <w:r>
        <w:rPr>
          <w:rFonts w:eastAsia="仿宋_GB2312"/>
          <w:szCs w:val="32"/>
        </w:rPr>
        <w:t xml:space="preserve">      2</w:t>
      </w:r>
      <w:r>
        <w:rPr>
          <w:rFonts w:eastAsia="仿宋_GB2312" w:hint="eastAsia"/>
          <w:szCs w:val="32"/>
        </w:rPr>
        <w:t>．</w:t>
      </w:r>
      <w:r>
        <w:rPr>
          <w:rFonts w:eastAsia="仿宋_GB2312"/>
          <w:szCs w:val="32"/>
        </w:rPr>
        <w:t>稀土行业秩序整顿省级督查评价表</w:t>
      </w:r>
    </w:p>
    <w:p w:rsidR="00F70827" w:rsidRDefault="00F70827" w:rsidP="00F70827">
      <w:pPr>
        <w:spacing w:line="560" w:lineRule="exact"/>
        <w:ind w:firstLineChars="500" w:firstLine="1575"/>
        <w:rPr>
          <w:rFonts w:eastAsia="仿宋_GB2312"/>
          <w:szCs w:val="32"/>
        </w:rPr>
      </w:pPr>
      <w:r>
        <w:rPr>
          <w:rFonts w:eastAsia="仿宋_GB2312"/>
          <w:szCs w:val="32"/>
        </w:rPr>
        <w:t>3</w:t>
      </w:r>
      <w:r>
        <w:rPr>
          <w:rFonts w:eastAsia="仿宋_GB2312" w:hint="eastAsia"/>
          <w:szCs w:val="32"/>
        </w:rPr>
        <w:t>．</w:t>
      </w:r>
      <w:r>
        <w:rPr>
          <w:rFonts w:eastAsia="仿宋_GB2312"/>
          <w:szCs w:val="32"/>
        </w:rPr>
        <w:t>____</w:t>
      </w:r>
      <w:r>
        <w:rPr>
          <w:rFonts w:eastAsia="仿宋_GB2312"/>
          <w:szCs w:val="32"/>
        </w:rPr>
        <w:t>镇（区）自查情况汇总表</w:t>
      </w:r>
    </w:p>
    <w:p w:rsidR="00F70827" w:rsidRDefault="00F70827" w:rsidP="00F70827">
      <w:pPr>
        <w:spacing w:line="560" w:lineRule="exact"/>
        <w:ind w:firstLineChars="500" w:firstLine="1575"/>
        <w:rPr>
          <w:rFonts w:eastAsia="仿宋_GB2312" w:hint="eastAsia"/>
          <w:szCs w:val="32"/>
        </w:rPr>
      </w:pPr>
      <w:r>
        <w:rPr>
          <w:rFonts w:eastAsia="仿宋_GB2312"/>
          <w:szCs w:val="32"/>
        </w:rPr>
        <w:t>4</w:t>
      </w:r>
      <w:r>
        <w:rPr>
          <w:rFonts w:eastAsia="仿宋_GB2312" w:hint="eastAsia"/>
          <w:szCs w:val="32"/>
        </w:rPr>
        <w:t>．</w:t>
      </w:r>
      <w:r>
        <w:rPr>
          <w:rFonts w:eastAsia="仿宋_GB2312"/>
          <w:szCs w:val="32"/>
        </w:rPr>
        <w:t>____</w:t>
      </w:r>
      <w:r>
        <w:rPr>
          <w:rFonts w:eastAsia="仿宋_GB2312"/>
          <w:szCs w:val="32"/>
        </w:rPr>
        <w:t>镇（区）稀土行业秩序整顿自查报告编</w:t>
      </w:r>
    </w:p>
    <w:p w:rsidR="003023FC" w:rsidRDefault="00F70827" w:rsidP="00F70827">
      <w:pPr>
        <w:spacing w:line="560" w:lineRule="exact"/>
        <w:ind w:firstLineChars="600" w:firstLine="1890"/>
        <w:rPr>
          <w:rFonts w:ascii="Times New Roman" w:hint="eastAsia"/>
        </w:rPr>
      </w:pPr>
      <w:r>
        <w:rPr>
          <w:rFonts w:eastAsia="仿宋_GB2312"/>
          <w:szCs w:val="32"/>
        </w:rPr>
        <w:t>写提纲</w:t>
      </w: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blPrEx>
          <w:tblCellMar>
            <w:top w:w="0" w:type="dxa"/>
            <w:bottom w:w="0" w:type="dxa"/>
          </w:tblCellMar>
        </w:tblPrEx>
        <w:trPr>
          <w:cantSplit/>
        </w:trPr>
        <w:tc>
          <w:tcPr>
            <w:tcW w:w="8820" w:type="dxa"/>
            <w:tcBorders>
              <w:left w:val="nil"/>
              <w:bottom w:val="single" w:sz="12" w:space="0" w:color="auto"/>
              <w:right w:val="nil"/>
            </w:tcBorders>
          </w:tcPr>
          <w:p w:rsidR="00102DF7" w:rsidRPr="00102DF7" w:rsidRDefault="00102DF7" w:rsidP="00F70827">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F70827">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76318D">
              <w:rPr>
                <w:rFonts w:ascii="Times New Roman" w:eastAsia="仿宋_GB2312" w:hint="eastAsia"/>
                <w:b w:val="0"/>
                <w:sz w:val="28"/>
                <w:szCs w:val="28"/>
              </w:rPr>
              <w:t>9</w:t>
            </w:r>
            <w:r w:rsidRPr="00102DF7">
              <w:rPr>
                <w:rFonts w:ascii="Times New Roman" w:eastAsia="仿宋_GB2312"/>
                <w:b w:val="0"/>
                <w:sz w:val="28"/>
                <w:szCs w:val="28"/>
              </w:rPr>
              <w:t>年</w:t>
            </w:r>
            <w:r w:rsidR="00F70827">
              <w:rPr>
                <w:rFonts w:ascii="Times New Roman" w:eastAsia="仿宋_GB2312" w:hint="eastAsia"/>
                <w:b w:val="0"/>
                <w:sz w:val="28"/>
                <w:szCs w:val="28"/>
              </w:rPr>
              <w:t>8</w:t>
            </w:r>
            <w:r w:rsidRPr="00102DF7">
              <w:rPr>
                <w:rFonts w:ascii="Times New Roman" w:eastAsia="仿宋_GB2312"/>
                <w:b w:val="0"/>
                <w:sz w:val="28"/>
                <w:szCs w:val="28"/>
              </w:rPr>
              <w:t>月</w:t>
            </w:r>
            <w:r w:rsidR="00F70827">
              <w:rPr>
                <w:rFonts w:ascii="Times New Roman" w:eastAsia="仿宋_GB2312" w:hint="eastAsia"/>
                <w:b w:val="0"/>
                <w:sz w:val="28"/>
                <w:szCs w:val="28"/>
              </w:rPr>
              <w:t>8</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rPr>
          <w:rFonts w:hint="eastAsia"/>
        </w:rPr>
      </w:pPr>
    </w:p>
    <w:sectPr w:rsidR="007C0B84"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16A" w:rsidRDefault="00CC316A">
      <w:r>
        <w:separator/>
      </w:r>
    </w:p>
  </w:endnote>
  <w:endnote w:type="continuationSeparator" w:id="1">
    <w:p w:rsidR="00CC316A" w:rsidRDefault="00CC3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汉鼎简楷体">
    <w:altName w:val="楷体_GB2312"/>
    <w:charset w:val="86"/>
    <w:family w:val="modern"/>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rPr>
        <w:rFonts w:hint="eastAsia"/>
      </w:rPr>
    </w:pPr>
    <w:r w:rsidRPr="009F5851">
      <w:rPr>
        <w:rFonts w:hint="eastAsia"/>
      </w:rPr>
      <w:t xml:space="preserve">— </w:t>
    </w:r>
    <w:r w:rsidRPr="009F5851">
      <w:rPr>
        <w:rStyle w:val="a5"/>
        <w:rFonts w:hint="eastAsia"/>
      </w:rPr>
      <w:fldChar w:fldCharType="begin"/>
    </w:r>
    <w:r w:rsidRPr="009F5851">
      <w:rPr>
        <w:rStyle w:val="a5"/>
        <w:rFonts w:hint="eastAsia"/>
      </w:rPr>
      <w:instrText xml:space="preserve"> PAGE </w:instrText>
    </w:r>
    <w:r w:rsidRPr="009F5851">
      <w:rPr>
        <w:rStyle w:val="a5"/>
        <w:rFonts w:hint="eastAsia"/>
      </w:rPr>
      <w:fldChar w:fldCharType="separate"/>
    </w:r>
    <w:r w:rsidR="00BF7C7E">
      <w:rPr>
        <w:rStyle w:val="a5"/>
        <w:noProof/>
      </w:rPr>
      <w:t>1</w:t>
    </w:r>
    <w:r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16A" w:rsidRDefault="00CC316A">
      <w:r>
        <w:separator/>
      </w:r>
    </w:p>
  </w:footnote>
  <w:footnote w:type="continuationSeparator" w:id="1">
    <w:p w:rsidR="00CC316A" w:rsidRDefault="00CC31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revisionView w:markup="0" w:comments="0" w:insDel="0" w:formatting="0" w:inkAnnotations="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40150"/>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43073"/>
    <w:rsid w:val="0028333C"/>
    <w:rsid w:val="003023FC"/>
    <w:rsid w:val="004319D7"/>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D5860"/>
    <w:rsid w:val="006F5F5E"/>
    <w:rsid w:val="0076318D"/>
    <w:rsid w:val="00764BA1"/>
    <w:rsid w:val="007726EF"/>
    <w:rsid w:val="007A417A"/>
    <w:rsid w:val="007C0B84"/>
    <w:rsid w:val="007D2FF7"/>
    <w:rsid w:val="007F6318"/>
    <w:rsid w:val="00863B9E"/>
    <w:rsid w:val="0090290D"/>
    <w:rsid w:val="00910517"/>
    <w:rsid w:val="009154B8"/>
    <w:rsid w:val="009B3FD7"/>
    <w:rsid w:val="009C6D7E"/>
    <w:rsid w:val="009F5851"/>
    <w:rsid w:val="00A14A4B"/>
    <w:rsid w:val="00A40150"/>
    <w:rsid w:val="00A91AC5"/>
    <w:rsid w:val="00AD448D"/>
    <w:rsid w:val="00AF2197"/>
    <w:rsid w:val="00B737CD"/>
    <w:rsid w:val="00B82947"/>
    <w:rsid w:val="00B839BD"/>
    <w:rsid w:val="00B909C5"/>
    <w:rsid w:val="00BC1586"/>
    <w:rsid w:val="00BD5DA7"/>
    <w:rsid w:val="00BF7C7E"/>
    <w:rsid w:val="00C25008"/>
    <w:rsid w:val="00C64067"/>
    <w:rsid w:val="00C64242"/>
    <w:rsid w:val="00CA1589"/>
    <w:rsid w:val="00CC316A"/>
    <w:rsid w:val="00CD5176"/>
    <w:rsid w:val="00D144E1"/>
    <w:rsid w:val="00D35EE3"/>
    <w:rsid w:val="00D707F0"/>
    <w:rsid w:val="00DB52DE"/>
    <w:rsid w:val="00DC4E10"/>
    <w:rsid w:val="00DD0DCC"/>
    <w:rsid w:val="00DE6BB2"/>
    <w:rsid w:val="00DF7192"/>
    <w:rsid w:val="00E206FC"/>
    <w:rsid w:val="00E5032A"/>
    <w:rsid w:val="00E61A53"/>
    <w:rsid w:val="00E63370"/>
    <w:rsid w:val="00ED33AE"/>
    <w:rsid w:val="00F04505"/>
    <w:rsid w:val="00F70827"/>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ascii="汉鼎简楷体" w:eastAsia="汉鼎简楷体" w:hAnsi="Book Antiqua"/>
    </w:rPr>
  </w:style>
  <w:style w:type="paragraph" w:customStyle="1" w:styleId="3">
    <w:name w:val="标题3"/>
    <w:basedOn w:val="a"/>
    <w:next w:val="a"/>
    <w:rPr>
      <w:rFonts w:ascii="汉鼎简黑体" w:eastAsia="汉鼎简黑体"/>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宋体" w:eastAsia="宋体"/>
      <w:b/>
    </w:rPr>
  </w:style>
  <w:style w:type="paragraph" w:customStyle="1" w:styleId="aa">
    <w:name w:val="抄送栏"/>
    <w:basedOn w:val="a"/>
    <w:pPr>
      <w:adjustRightInd w:val="0"/>
      <w:snapToGrid/>
      <w:spacing w:line="454" w:lineRule="atLeast"/>
      <w:ind w:left="851" w:hanging="851"/>
    </w:pPr>
    <w:rPr>
      <w:sz w:val="28"/>
    </w:r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left" w:pos="284"/>
        <w:tab w:val="left" w:pos="5387"/>
      </w:tabs>
      <w:spacing w:line="397" w:lineRule="atLeast"/>
    </w:pPr>
    <w:rPr>
      <w:spacing w:val="0"/>
      <w:sz w:val="28"/>
    </w:rPr>
  </w:style>
  <w:style w:type="paragraph" w:customStyle="1" w:styleId="ad">
    <w:name w:val="印数"/>
    <w:basedOn w:val="ac"/>
    <w:pPr>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太政办2019</Template>
  <TotalTime>8</TotalTime>
  <Pages>8</Pages>
  <Words>565</Words>
  <Characters>3226</Characters>
  <Application>Microsoft Office Word</Application>
  <DocSecurity>0</DocSecurity>
  <Lines>26</Lines>
  <Paragraphs>7</Paragraphs>
  <ScaleCrop>false</ScaleCrop>
  <Company>wyk</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3</cp:revision>
  <cp:lastPrinted>2019-08-09T06:10:00Z</cp:lastPrinted>
  <dcterms:created xsi:type="dcterms:W3CDTF">2019-08-09T06:03:00Z</dcterms:created>
  <dcterms:modified xsi:type="dcterms:W3CDTF">2019-08-09T06:11:00Z</dcterms:modified>
</cp:coreProperties>
</file>