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B" w:rsidRPr="008B321F" w:rsidRDefault="00202E6B" w:rsidP="008B321F">
      <w:pPr>
        <w:pStyle w:val="a7"/>
        <w:spacing w:before="0" w:after="500" w:line="1560" w:lineRule="atLeast"/>
        <w:ind w:left="794" w:right="794" w:firstLine="1437"/>
        <w:jc w:val="distribute"/>
        <w:rPr>
          <w:rFonts w:ascii="Times New Roman"/>
          <w:b/>
          <w:w w:val="85"/>
          <w:sz w:val="84"/>
          <w:szCs w:val="84"/>
        </w:rPr>
      </w:pPr>
    </w:p>
    <w:p w:rsidR="00202E6B" w:rsidRPr="008B321F" w:rsidRDefault="00202E6B" w:rsidP="008B321F">
      <w:pPr>
        <w:pStyle w:val="a7"/>
        <w:spacing w:before="0" w:after="500" w:line="1000" w:lineRule="atLeast"/>
        <w:ind w:left="794" w:right="794"/>
        <w:jc w:val="distribute"/>
        <w:rPr>
          <w:rFonts w:ascii="Times New Roman"/>
          <w:b/>
          <w:w w:val="85"/>
          <w:sz w:val="84"/>
          <w:szCs w:val="84"/>
        </w:rPr>
      </w:pPr>
    </w:p>
    <w:p w:rsidR="00202E6B" w:rsidRPr="008B321F" w:rsidRDefault="00202E6B" w:rsidP="008B321F">
      <w:pPr>
        <w:adjustRightInd w:val="0"/>
        <w:jc w:val="center"/>
        <w:rPr>
          <w:rFonts w:ascii="Times New Roman" w:eastAsia="黑体" w:hAnsi="Times New Roman"/>
          <w:spacing w:val="60"/>
          <w:sz w:val="32"/>
          <w:szCs w:val="32"/>
        </w:rPr>
      </w:pPr>
      <w:r w:rsidRPr="008B321F">
        <w:rPr>
          <w:rFonts w:ascii="Times New Roman" w:eastAsia="黑体" w:hAnsi="Times New Roman" w:hint="eastAsia"/>
          <w:spacing w:val="60"/>
          <w:sz w:val="32"/>
          <w:szCs w:val="32"/>
        </w:rPr>
        <w:t>第</w:t>
      </w:r>
      <w:r w:rsidR="001C23B9">
        <w:rPr>
          <w:rFonts w:ascii="Times New Roman" w:eastAsia="黑体" w:hAnsi="Times New Roman" w:hint="eastAsia"/>
          <w:spacing w:val="60"/>
          <w:sz w:val="32"/>
          <w:szCs w:val="32"/>
        </w:rPr>
        <w:t>8</w:t>
      </w:r>
      <w:r w:rsidRPr="008B321F">
        <w:rPr>
          <w:rFonts w:ascii="Times New Roman" w:eastAsia="黑体" w:hAnsi="Times New Roman" w:hint="eastAsia"/>
          <w:spacing w:val="60"/>
          <w:sz w:val="32"/>
          <w:szCs w:val="32"/>
        </w:rPr>
        <w:t>号</w:t>
      </w:r>
    </w:p>
    <w:p w:rsidR="00202E6B" w:rsidRPr="008B321F" w:rsidRDefault="00202E6B" w:rsidP="008B321F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8B321F">
        <w:rPr>
          <w:rFonts w:ascii="Times New Roman" w:eastAsia="楷体_GB2312" w:hAnsi="Times New Roman" w:hint="eastAsia"/>
          <w:sz w:val="32"/>
          <w:szCs w:val="32"/>
        </w:rPr>
        <w:t>太仓市人民政府办公室</w:t>
      </w:r>
      <w:r w:rsidRPr="008B321F">
        <w:rPr>
          <w:rFonts w:ascii="Times New Roman" w:eastAsia="汉鼎简楷体" w:hAnsi="Times New Roman"/>
          <w:sz w:val="32"/>
          <w:szCs w:val="32"/>
        </w:rPr>
        <w:tab/>
        <w:t xml:space="preserve">        </w:t>
      </w:r>
      <w:r w:rsidR="00A20EBC">
        <w:rPr>
          <w:rFonts w:ascii="Times New Roman" w:eastAsia="汉鼎简楷体" w:hAnsi="Times New Roman" w:hint="eastAsia"/>
          <w:sz w:val="32"/>
          <w:szCs w:val="32"/>
        </w:rPr>
        <w:t xml:space="preserve">     </w:t>
      </w:r>
      <w:r w:rsidRPr="008B321F">
        <w:rPr>
          <w:rFonts w:ascii="Times New Roman" w:eastAsia="汉鼎简楷体" w:hAnsi="Times New Roman"/>
          <w:sz w:val="32"/>
          <w:szCs w:val="32"/>
        </w:rPr>
        <w:t xml:space="preserve">      </w:t>
      </w:r>
      <w:r w:rsidR="00853C2A">
        <w:rPr>
          <w:rFonts w:ascii="Times New Roman" w:eastAsia="楷体_GB2312" w:hAnsi="Times New Roman"/>
          <w:sz w:val="32"/>
          <w:szCs w:val="32"/>
        </w:rPr>
        <w:t>201</w:t>
      </w:r>
      <w:r w:rsidR="00A20EBC">
        <w:rPr>
          <w:rFonts w:ascii="Times New Roman" w:eastAsia="楷体_GB2312" w:hAnsi="Times New Roman" w:hint="eastAsia"/>
          <w:sz w:val="32"/>
          <w:szCs w:val="32"/>
        </w:rPr>
        <w:t>9</w:t>
      </w:r>
      <w:r w:rsidRPr="008B321F">
        <w:rPr>
          <w:rFonts w:ascii="Times New Roman" w:eastAsia="楷体_GB2312" w:hAnsi="Times New Roman" w:hint="eastAsia"/>
          <w:sz w:val="32"/>
          <w:szCs w:val="32"/>
        </w:rPr>
        <w:t>年</w:t>
      </w:r>
      <w:r w:rsidR="00781EBC">
        <w:rPr>
          <w:rFonts w:ascii="Times New Roman" w:eastAsia="楷体_GB2312" w:hAnsi="Times New Roman" w:hint="eastAsia"/>
          <w:sz w:val="32"/>
          <w:szCs w:val="32"/>
        </w:rPr>
        <w:t>5</w:t>
      </w:r>
      <w:r w:rsidRPr="008B321F">
        <w:rPr>
          <w:rFonts w:ascii="Times New Roman" w:eastAsia="楷体_GB2312" w:hAnsi="Times New Roman" w:hint="eastAsia"/>
          <w:sz w:val="32"/>
          <w:szCs w:val="32"/>
        </w:rPr>
        <w:t>月</w:t>
      </w:r>
      <w:r w:rsidR="00781EBC">
        <w:rPr>
          <w:rFonts w:ascii="Times New Roman" w:eastAsia="楷体_GB2312" w:hAnsi="Times New Roman" w:hint="eastAsia"/>
          <w:sz w:val="32"/>
          <w:szCs w:val="32"/>
        </w:rPr>
        <w:t>16</w:t>
      </w:r>
      <w:r w:rsidRPr="008B321F">
        <w:rPr>
          <w:rFonts w:ascii="Times New Roman" w:eastAsia="楷体_GB2312" w:hAnsi="Times New Roman" w:hint="eastAsia"/>
          <w:sz w:val="32"/>
          <w:szCs w:val="32"/>
        </w:rPr>
        <w:t>日</w:t>
      </w:r>
    </w:p>
    <w:p w:rsidR="00202E6B" w:rsidRDefault="00202E6B" w:rsidP="008B321F">
      <w:pPr>
        <w:spacing w:line="560" w:lineRule="exact"/>
        <w:rPr>
          <w:rFonts w:ascii="Times New Roman" w:hAnsi="Times New Roman"/>
        </w:rPr>
      </w:pPr>
    </w:p>
    <w:p w:rsidR="009C3342" w:rsidRDefault="009C3342" w:rsidP="009C334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1C23B9" w:rsidRPr="007F7017" w:rsidRDefault="001C23B9" w:rsidP="001C23B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F7017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上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午，王建国市长主持召开市政府第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次常务会议，主要</w:t>
      </w:r>
      <w:r w:rsidRPr="00F61113">
        <w:rPr>
          <w:rFonts w:ascii="Times New Roman" w:eastAsia="仿宋_GB2312" w:hAnsi="Times New Roman" w:hint="eastAsia"/>
          <w:kern w:val="0"/>
          <w:sz w:val="32"/>
          <w:szCs w:val="32"/>
        </w:rPr>
        <w:t>审议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《关于加快在太大院名校引进高层次人才的实施办法（试行）》</w:t>
      </w:r>
      <w:r w:rsidRPr="0043479A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学习《地方党政领导干部食品安全责任制规定》</w:t>
      </w:r>
      <w:r w:rsidRPr="0043479A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纪要如下：</w:t>
      </w:r>
    </w:p>
    <w:p w:rsidR="001C23B9" w:rsidRDefault="001C23B9" w:rsidP="001C23B9">
      <w:pPr>
        <w:widowControl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一</w:t>
      </w:r>
      <w:r>
        <w:rPr>
          <w:rFonts w:ascii="黑体" w:eastAsia="黑体" w:hAnsi="黑体" w:hint="eastAsia"/>
          <w:kern w:val="0"/>
          <w:sz w:val="32"/>
          <w:szCs w:val="32"/>
        </w:rPr>
        <w:t>、审议</w:t>
      </w:r>
      <w:r w:rsidRPr="0043479A">
        <w:rPr>
          <w:rFonts w:ascii="黑体" w:eastAsia="黑体" w:hAnsi="黑体"/>
          <w:kern w:val="0"/>
          <w:sz w:val="32"/>
          <w:szCs w:val="32"/>
        </w:rPr>
        <w:t>《关于加快在太大院名校引进高层次人才的实施办法（试行）》</w:t>
      </w:r>
    </w:p>
    <w:p w:rsidR="001C23B9" w:rsidRDefault="001C23B9" w:rsidP="001C23B9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E9378A">
        <w:rPr>
          <w:rFonts w:ascii="Times New Roman" w:eastAsia="仿宋_GB2312" w:hAnsi="Times New Roman"/>
          <w:kern w:val="0"/>
          <w:sz w:val="32"/>
          <w:szCs w:val="32"/>
        </w:rPr>
        <w:t>会议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听取并审议了市人才办关于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《关于加快在太大院名校引进高层次人才的实施办法（试行）》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。会议认为，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当前及今后时期，我市正高质量建设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两地两城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“1115”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产业发展、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“1221”</w:t>
      </w:r>
      <w:r>
        <w:rPr>
          <w:rFonts w:ascii="Times New Roman" w:eastAsia="仿宋_GB2312" w:hAnsi="Times New Roman"/>
          <w:kern w:val="0"/>
          <w:sz w:val="32"/>
          <w:szCs w:val="32"/>
        </w:rPr>
        <w:t>重大项目等工作的推进都需要人才的支撑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人才队伍建设是大院名校</w:t>
      </w:r>
      <w:r>
        <w:rPr>
          <w:rFonts w:ascii="Times New Roman" w:eastAsia="仿宋_GB2312" w:hAnsi="Times New Roman"/>
          <w:kern w:val="0"/>
          <w:sz w:val="32"/>
          <w:szCs w:val="32"/>
        </w:rPr>
        <w:t>在太发展的基础条件也是核心要素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。出台该《办法（试行）》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对于引导和加快在太大院名校引进高层次人才、助推两所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lastRenderedPageBreak/>
        <w:t>大学太仓校区建设具有十分重要的意义，对于我市产业发展、提升城市影响力具有积极的推动作用。</w:t>
      </w:r>
    </w:p>
    <w:p w:rsidR="001C23B9" w:rsidRDefault="001C23B9" w:rsidP="001C23B9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会议明确，原则同意该《办法（试行）》，会后由市人才办根据会议讨论的意见进行修改完善，报市委常委会审定后以市政府名义下发。</w:t>
      </w:r>
    </w:p>
    <w:p w:rsidR="001C23B9" w:rsidRPr="0043479A" w:rsidRDefault="001C23B9" w:rsidP="001C23B9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会议要求，（一）市人才办和有关部门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要在落实中注重政策的原则性和灵活性相统一。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对引进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人才要求全职在太工作，即以在太仓缴纳社保或个税为标准。</w:t>
      </w:r>
      <w:r>
        <w:rPr>
          <w:rFonts w:ascii="Times New Roman" w:eastAsia="仿宋_GB2312" w:hAnsi="Times New Roman"/>
          <w:kern w:val="0"/>
          <w:sz w:val="32"/>
          <w:szCs w:val="32"/>
        </w:rPr>
        <w:t>为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支持在太大院名校快速发展，对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两所大学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派驻人员按照一定比例视同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全职引进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给予政策支持。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市人才办等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有关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部门要全面做好政策宣传工作，积极引导大院名校加快人才引进，主动引导人才安心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全职在太工作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，吸引人才逐步融入太仓。要加强与各大院名校的交流沟通，动态掌握院校人才招聘计划，了解政策实施的反馈意见。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（三）市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财政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局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要与人才办等部门加强沟通，共同做好年度资金的测算工作，切实做好资金保障。</w:t>
      </w:r>
    </w:p>
    <w:p w:rsidR="001C23B9" w:rsidRPr="009F6AA6" w:rsidRDefault="001C23B9" w:rsidP="001C23B9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 w:rsidRPr="0043479A">
        <w:rPr>
          <w:rFonts w:ascii="黑体" w:eastAsia="黑体" w:hAnsi="黑体"/>
          <w:kern w:val="0"/>
          <w:sz w:val="32"/>
          <w:szCs w:val="32"/>
        </w:rPr>
        <w:t>学习《地方党政领导干部食品安全责任制规定》</w:t>
      </w:r>
    </w:p>
    <w:p w:rsidR="001C23B9" w:rsidRPr="0043479A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会议学习了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《地方党政领导干部食品安全责任制规定》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。会议认为，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《地方党政领导干部食品安全责任制规定》是首部地方党政领导干部食品安全责任党内法规，首次对党政领导干部食品安全责任制作出的全面系统的制度设计，要求明确，内容详细，对党政责任、监督考核、奖惩等方面都有了具体说明。</w:t>
      </w:r>
    </w:p>
    <w:p w:rsidR="001C23B9" w:rsidRPr="0043479A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强调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，（一）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食品安全是全市安全工作的重要组成部分，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lastRenderedPageBreak/>
        <w:t>是重大的民生工程。各地各部门要认真学习贯彻习近平</w:t>
      </w:r>
      <w:r>
        <w:rPr>
          <w:rFonts w:ascii="Times New Roman" w:eastAsia="仿宋_GB2312" w:hAnsi="Times New Roman"/>
          <w:kern w:val="0"/>
          <w:sz w:val="32"/>
          <w:szCs w:val="32"/>
        </w:rPr>
        <w:t>总书记关于食品安全的重要批示指示精神，深入落实上级各项决策部署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。要认真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学习领会《地方党政领导干部食品安全责任制规定》，按照具体要求，坚持问题导向，认真梳理食品安全工作存在的问题和短板，坚决守住不发生系统性、区域性食品安全事故底线，确保群众舌尖上的安全。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各地各部门要按照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最严谨的标准、最严格的监管、最严厉的处罚、最严肃的问责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”四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个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最严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要求，进一步健全食品安全工作责任制，持续保持食品安全高压严管态势，构建完善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党委高度重视、政府依法监管、企业全面负责、社会监督参与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的食品安全工作格局。要强化市食安委各成员单位的职责，进一步细化管理领域内监管举措。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各地各部门要加强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食品安全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风险排查，严把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从农田到餐桌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的每一道防线。围绕农产品批发市场和农贸市场、机关校园食堂、酒店餐馆、食品加工企业等重点领域，组织开展各类专项整治。要深化诚信激励和失信惩戒机制建设，实施企业、人员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黑名单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制度，建立较为完备的食品安全信用体系。要</w:t>
      </w:r>
      <w:r w:rsidRPr="0043479A">
        <w:rPr>
          <w:rFonts w:ascii="Times New Roman" w:eastAsia="仿宋_GB2312" w:hAnsi="Times New Roman" w:hint="eastAsia"/>
          <w:kern w:val="0"/>
          <w:sz w:val="32"/>
          <w:szCs w:val="32"/>
        </w:rPr>
        <w:t>强化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宣传，推进食品安全宣传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进社区、进校园、进企业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3479A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C23B9" w:rsidRPr="0043479A" w:rsidRDefault="001C23B9" w:rsidP="001C23B9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1C23B9" w:rsidRDefault="001C23B9" w:rsidP="001C23B9">
      <w:pPr>
        <w:pStyle w:val="Bodytext20"/>
        <w:shd w:val="clear" w:color="auto" w:fill="auto"/>
        <w:spacing w:before="0" w:after="0" w:line="580" w:lineRule="exact"/>
        <w:ind w:firstLine="66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6A31D8">
        <w:rPr>
          <w:rFonts w:ascii="Times New Roman" w:eastAsia="仿宋_GB2312" w:hAnsi="Times New Roman" w:cs="Times New Roman"/>
          <w:sz w:val="32"/>
          <w:szCs w:val="32"/>
        </w:rPr>
        <w:t>出席：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韩飚、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许超震、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胡捷、冯晋、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顾建康、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陈力、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高彬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C23B9" w:rsidRPr="006A31D8" w:rsidRDefault="001C23B9" w:rsidP="001C23B9">
      <w:pPr>
        <w:pStyle w:val="Bodytext20"/>
        <w:shd w:val="clear" w:color="auto" w:fill="auto"/>
        <w:spacing w:before="0" w:after="0" w:line="580" w:lineRule="exact"/>
        <w:ind w:firstLine="6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A31D8">
        <w:rPr>
          <w:rFonts w:ascii="Times New Roman" w:eastAsia="仿宋_GB2312" w:hAnsi="Times New Roman" w:cs="Times New Roman"/>
          <w:sz w:val="32"/>
          <w:szCs w:val="32"/>
        </w:rPr>
        <w:t>列席：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市人大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陆燕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市政协王国其，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市政府办公室夏永华、房宇峰、徐晓锋、汪志杰、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白斌、陈杰、蔡健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组织部宋蔚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市委宣传部朱慧，市委政法委陈卫平，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市发改委王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晨清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，市教育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lastRenderedPageBreak/>
        <w:t>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王晓芸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，市科技局万芬奇，市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工信局吴忠良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市公安局刘</w:t>
      </w:r>
      <w:r w:rsidRPr="00053AFC">
        <w:rPr>
          <w:rFonts w:asciiTheme="minorEastAsia" w:eastAsiaTheme="minorEastAsia" w:hAnsiTheme="minorEastAsia" w:cs="Times New Roman" w:hint="eastAsia"/>
          <w:sz w:val="32"/>
          <w:szCs w:val="32"/>
        </w:rPr>
        <w:t>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市民政局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刘友</w:t>
      </w:r>
      <w:r w:rsidRPr="00053AFC">
        <w:rPr>
          <w:rFonts w:asciiTheme="minorEastAsia" w:eastAsiaTheme="minorEastAsia" w:hAnsiTheme="minorEastAsia" w:cs="Times New Roman" w:hint="eastAsia"/>
          <w:sz w:val="32"/>
          <w:szCs w:val="32"/>
        </w:rPr>
        <w:t>佺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，市司法局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顾潇军、徐林峰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，市财政局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凌晓波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，市人社局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楼浩平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，市住建局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童刚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，市城管局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严国强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农业农村局张震，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市商务局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张皓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旅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费春燕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健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邱根生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，市环保局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张勤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，市市场监管局周建平，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市检验检测中心唐宪中，供销总社杨俭，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港区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钱振刚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冯玉良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，科教新城韩志敏，娄东街道顾技峰，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太仓海关许强，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城厢镇严枫，沙溪镇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张国华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浏河镇邵立新，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浮桥镇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李峰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，璜泾镇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李天一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，双凤镇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陆江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1C23B9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1C23B9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1C23B9" w:rsidRPr="00F1565A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1C23B9" w:rsidRPr="00E9378A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太仓市人民政府办公室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整理</w:t>
      </w:r>
    </w:p>
    <w:p w:rsidR="001C23B9" w:rsidRPr="00E9378A" w:rsidRDefault="001C23B9" w:rsidP="001C23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 xml:space="preserve">             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781EBC" w:rsidRDefault="00781EBC" w:rsidP="00003649">
      <w:pPr>
        <w:spacing w:line="580" w:lineRule="exact"/>
        <w:ind w:left="960" w:hangingChars="300" w:hanging="96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781EBC" w:rsidRDefault="00781EBC" w:rsidP="00003649">
      <w:pPr>
        <w:spacing w:line="580" w:lineRule="exact"/>
        <w:ind w:left="960" w:hangingChars="300" w:hanging="96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781EBC" w:rsidRDefault="00781EBC" w:rsidP="00003649">
      <w:pPr>
        <w:spacing w:line="580" w:lineRule="exact"/>
        <w:ind w:left="960" w:hangingChars="300" w:hanging="960"/>
        <w:rPr>
          <w:rFonts w:ascii="Times New Roman" w:eastAsia="仿宋_GB2312" w:hAnsi="Times New Roman"/>
          <w:kern w:val="0"/>
          <w:sz w:val="32"/>
          <w:szCs w:val="32"/>
        </w:rPr>
      </w:pPr>
    </w:p>
    <w:p w:rsidR="00E960A8" w:rsidRPr="00E960A8" w:rsidRDefault="00E960A8" w:rsidP="00003649">
      <w:pPr>
        <w:spacing w:line="580" w:lineRule="exact"/>
        <w:ind w:left="960" w:hangingChars="300" w:hanging="960"/>
        <w:rPr>
          <w:rFonts w:ascii="Times New Roman" w:eastAsia="仿宋_GB2312" w:hAnsi="Times New Roman"/>
          <w:kern w:val="0"/>
          <w:sz w:val="32"/>
          <w:szCs w:val="32"/>
        </w:rPr>
      </w:pPr>
    </w:p>
    <w:p w:rsidR="00202E6B" w:rsidRPr="007114B3" w:rsidRDefault="00202E6B" w:rsidP="00003649">
      <w:pPr>
        <w:spacing w:line="580" w:lineRule="exact"/>
        <w:ind w:left="840" w:hangingChars="300" w:hanging="840"/>
        <w:rPr>
          <w:rFonts w:ascii="仿宋_GB2312" w:eastAsia="仿宋_GB2312"/>
          <w:spacing w:val="-2"/>
          <w:sz w:val="28"/>
          <w:szCs w:val="28"/>
        </w:rPr>
      </w:pPr>
      <w:r w:rsidRPr="007114B3">
        <w:rPr>
          <w:rFonts w:ascii="仿宋_GB2312" w:eastAsia="仿宋_GB2312" w:hint="eastAsia"/>
          <w:sz w:val="28"/>
          <w:szCs w:val="28"/>
        </w:rPr>
        <w:t>主送：</w:t>
      </w:r>
      <w:r w:rsidR="000F41B7" w:rsidRPr="000F41B7">
        <w:rPr>
          <w:rFonts w:ascii="仿宋_GB2312" w:eastAsia="仿宋_GB2312" w:hint="eastAsia"/>
          <w:sz w:val="28"/>
          <w:szCs w:val="28"/>
        </w:rPr>
        <w:t>各镇人民政府，太仓港经济技术开发区、太仓高新区、旅游度假区管委会，科教新城管委会，娄东街道办事处，市各委办局，各直属单位，健雄学院</w:t>
      </w:r>
      <w:r w:rsidR="00FC4C6D">
        <w:rPr>
          <w:rFonts w:ascii="仿宋_GB2312" w:eastAsia="仿宋_GB2312" w:hint="eastAsia"/>
          <w:sz w:val="28"/>
          <w:szCs w:val="28"/>
        </w:rPr>
        <w:t>。</w:t>
      </w:r>
    </w:p>
    <w:p w:rsidR="00202E6B" w:rsidRPr="008B321F" w:rsidRDefault="00202E6B" w:rsidP="009C3342">
      <w:pPr>
        <w:spacing w:line="580" w:lineRule="exact"/>
        <w:ind w:left="840" w:hangingChars="300" w:hanging="840"/>
        <w:rPr>
          <w:rFonts w:ascii="Times New Roman" w:eastAsia="仿宋_GB2312" w:hAnsi="Times New Roman"/>
          <w:kern w:val="0"/>
          <w:sz w:val="32"/>
          <w:szCs w:val="32"/>
        </w:rPr>
      </w:pPr>
      <w:r w:rsidRPr="007114B3">
        <w:rPr>
          <w:rFonts w:ascii="仿宋_GB2312" w:eastAsia="仿宋_GB2312" w:hint="eastAsia"/>
          <w:sz w:val="28"/>
          <w:szCs w:val="28"/>
        </w:rPr>
        <w:t>抄送：市委各部委办局，市人大常委会办公室，市政协办公室，</w:t>
      </w:r>
      <w:r w:rsidR="0028661E">
        <w:rPr>
          <w:rFonts w:ascii="仿宋_GB2312" w:eastAsia="仿宋_GB2312" w:hint="eastAsia"/>
          <w:sz w:val="28"/>
          <w:szCs w:val="28"/>
        </w:rPr>
        <w:t>市监委、</w:t>
      </w:r>
      <w:r w:rsidRPr="007114B3">
        <w:rPr>
          <w:rFonts w:ascii="仿宋_GB2312" w:eastAsia="仿宋_GB2312" w:hint="eastAsia"/>
          <w:sz w:val="28"/>
          <w:szCs w:val="28"/>
        </w:rPr>
        <w:t>市法院、检察院，市人武部，市各人民团体。</w:t>
      </w:r>
    </w:p>
    <w:sectPr w:rsidR="00202E6B" w:rsidRPr="008B321F" w:rsidSect="00DD2579">
      <w:footerReference w:type="default" r:id="rId7"/>
      <w:pgSz w:w="11906" w:h="16838"/>
      <w:pgMar w:top="1814" w:right="1531" w:bottom="1984" w:left="1531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45" w:rsidRPr="00F71870" w:rsidRDefault="00CC7A45" w:rsidP="00DD2579">
      <w:pPr>
        <w:rPr>
          <w:rFonts w:ascii="仿宋_GB2312" w:eastAsia="仿宋_GB2312"/>
          <w:sz w:val="24"/>
        </w:rPr>
      </w:pPr>
      <w:r>
        <w:separator/>
      </w:r>
    </w:p>
  </w:endnote>
  <w:endnote w:type="continuationSeparator" w:id="1">
    <w:p w:rsidR="00CC7A45" w:rsidRPr="00F71870" w:rsidRDefault="00CC7A45" w:rsidP="00DD2579">
      <w:pPr>
        <w:rPr>
          <w:rFonts w:ascii="仿宋_GB2312"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B" w:rsidRDefault="0097516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02E6B" w:rsidRDefault="0097516B">
                <w:pPr>
                  <w:pStyle w:val="a4"/>
                </w:pPr>
                <w:fldSimple w:instr=" PAGE  \* MERGEFORMAT ">
                  <w:r w:rsidR="001C23B9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45" w:rsidRPr="00F71870" w:rsidRDefault="00CC7A45" w:rsidP="00DD2579">
      <w:pPr>
        <w:rPr>
          <w:rFonts w:ascii="仿宋_GB2312" w:eastAsia="仿宋_GB2312"/>
          <w:sz w:val="24"/>
        </w:rPr>
      </w:pPr>
      <w:r>
        <w:separator/>
      </w:r>
    </w:p>
  </w:footnote>
  <w:footnote w:type="continuationSeparator" w:id="1">
    <w:p w:rsidR="00CC7A45" w:rsidRPr="00F71870" w:rsidRDefault="00CC7A45" w:rsidP="00DD2579">
      <w:pPr>
        <w:rPr>
          <w:rFonts w:ascii="仿宋_GB2312" w:eastAsia="仿宋_GB231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96"/>
    <w:rsid w:val="000009C4"/>
    <w:rsid w:val="00003583"/>
    <w:rsid w:val="00003649"/>
    <w:rsid w:val="00012DCD"/>
    <w:rsid w:val="00023EFB"/>
    <w:rsid w:val="000362FC"/>
    <w:rsid w:val="000547D6"/>
    <w:rsid w:val="00073181"/>
    <w:rsid w:val="000933A1"/>
    <w:rsid w:val="000A757A"/>
    <w:rsid w:val="000B541C"/>
    <w:rsid w:val="000F19BC"/>
    <w:rsid w:val="000F41B7"/>
    <w:rsid w:val="000F776D"/>
    <w:rsid w:val="00101F88"/>
    <w:rsid w:val="001037B7"/>
    <w:rsid w:val="001046A5"/>
    <w:rsid w:val="00130396"/>
    <w:rsid w:val="00145A2B"/>
    <w:rsid w:val="00155B0B"/>
    <w:rsid w:val="00166958"/>
    <w:rsid w:val="001A09ED"/>
    <w:rsid w:val="001A7490"/>
    <w:rsid w:val="001B1BD6"/>
    <w:rsid w:val="001B2F3A"/>
    <w:rsid w:val="001C23B9"/>
    <w:rsid w:val="001C7485"/>
    <w:rsid w:val="001D4315"/>
    <w:rsid w:val="001E4C14"/>
    <w:rsid w:val="001F7F00"/>
    <w:rsid w:val="00202E6B"/>
    <w:rsid w:val="00235225"/>
    <w:rsid w:val="00281123"/>
    <w:rsid w:val="0028661E"/>
    <w:rsid w:val="00292E89"/>
    <w:rsid w:val="00297B73"/>
    <w:rsid w:val="002A18DA"/>
    <w:rsid w:val="002A6A54"/>
    <w:rsid w:val="002C3EDA"/>
    <w:rsid w:val="002C5D52"/>
    <w:rsid w:val="002E538B"/>
    <w:rsid w:val="00302269"/>
    <w:rsid w:val="00332197"/>
    <w:rsid w:val="00350BD7"/>
    <w:rsid w:val="00351ACB"/>
    <w:rsid w:val="00373A6A"/>
    <w:rsid w:val="003F0C70"/>
    <w:rsid w:val="003F4E4E"/>
    <w:rsid w:val="003F6B76"/>
    <w:rsid w:val="00415C35"/>
    <w:rsid w:val="00437942"/>
    <w:rsid w:val="00444AA0"/>
    <w:rsid w:val="004631D0"/>
    <w:rsid w:val="00474946"/>
    <w:rsid w:val="004827E6"/>
    <w:rsid w:val="004D4EE6"/>
    <w:rsid w:val="004F596A"/>
    <w:rsid w:val="004F7B62"/>
    <w:rsid w:val="00513DDD"/>
    <w:rsid w:val="00520F57"/>
    <w:rsid w:val="00525F0D"/>
    <w:rsid w:val="00530987"/>
    <w:rsid w:val="00543975"/>
    <w:rsid w:val="00554F5E"/>
    <w:rsid w:val="00580B74"/>
    <w:rsid w:val="005A611F"/>
    <w:rsid w:val="005B2A46"/>
    <w:rsid w:val="005B738B"/>
    <w:rsid w:val="005C2E6A"/>
    <w:rsid w:val="006160DD"/>
    <w:rsid w:val="00621B7A"/>
    <w:rsid w:val="00625423"/>
    <w:rsid w:val="00653644"/>
    <w:rsid w:val="006537E8"/>
    <w:rsid w:val="006C048D"/>
    <w:rsid w:val="006C72EA"/>
    <w:rsid w:val="006E73FA"/>
    <w:rsid w:val="007114B3"/>
    <w:rsid w:val="00716D54"/>
    <w:rsid w:val="007239F5"/>
    <w:rsid w:val="007518CF"/>
    <w:rsid w:val="00762EAB"/>
    <w:rsid w:val="0077049A"/>
    <w:rsid w:val="00772EE1"/>
    <w:rsid w:val="00781EBC"/>
    <w:rsid w:val="00793DF8"/>
    <w:rsid w:val="007B4E2B"/>
    <w:rsid w:val="007D65B7"/>
    <w:rsid w:val="00822DF0"/>
    <w:rsid w:val="008517AE"/>
    <w:rsid w:val="00853C2A"/>
    <w:rsid w:val="00867AF4"/>
    <w:rsid w:val="00892B98"/>
    <w:rsid w:val="008A6108"/>
    <w:rsid w:val="008B321F"/>
    <w:rsid w:val="008C59C6"/>
    <w:rsid w:val="008D7316"/>
    <w:rsid w:val="008F09C8"/>
    <w:rsid w:val="008F2DF4"/>
    <w:rsid w:val="008F72AC"/>
    <w:rsid w:val="00914568"/>
    <w:rsid w:val="00924F38"/>
    <w:rsid w:val="009307E9"/>
    <w:rsid w:val="00934FDF"/>
    <w:rsid w:val="00935336"/>
    <w:rsid w:val="0093682B"/>
    <w:rsid w:val="009446CE"/>
    <w:rsid w:val="00955769"/>
    <w:rsid w:val="00966F79"/>
    <w:rsid w:val="0097516B"/>
    <w:rsid w:val="0098357B"/>
    <w:rsid w:val="0099446C"/>
    <w:rsid w:val="009A7F79"/>
    <w:rsid w:val="009B52F5"/>
    <w:rsid w:val="009C3342"/>
    <w:rsid w:val="009C3CF2"/>
    <w:rsid w:val="009C4E83"/>
    <w:rsid w:val="009D06B3"/>
    <w:rsid w:val="009D5684"/>
    <w:rsid w:val="009D698C"/>
    <w:rsid w:val="009E04E0"/>
    <w:rsid w:val="009F0290"/>
    <w:rsid w:val="009F6AD9"/>
    <w:rsid w:val="00A13FCF"/>
    <w:rsid w:val="00A1493E"/>
    <w:rsid w:val="00A1515C"/>
    <w:rsid w:val="00A20EBC"/>
    <w:rsid w:val="00A52AC2"/>
    <w:rsid w:val="00A56161"/>
    <w:rsid w:val="00A724B1"/>
    <w:rsid w:val="00A940A8"/>
    <w:rsid w:val="00AA62E8"/>
    <w:rsid w:val="00B03EEB"/>
    <w:rsid w:val="00B10884"/>
    <w:rsid w:val="00B2619E"/>
    <w:rsid w:val="00B4061B"/>
    <w:rsid w:val="00B45404"/>
    <w:rsid w:val="00B4658C"/>
    <w:rsid w:val="00B53622"/>
    <w:rsid w:val="00B53D58"/>
    <w:rsid w:val="00B70268"/>
    <w:rsid w:val="00B72A09"/>
    <w:rsid w:val="00B76734"/>
    <w:rsid w:val="00B9506A"/>
    <w:rsid w:val="00B95B4E"/>
    <w:rsid w:val="00BC536B"/>
    <w:rsid w:val="00BE1E48"/>
    <w:rsid w:val="00BF0C19"/>
    <w:rsid w:val="00C05B3B"/>
    <w:rsid w:val="00C15E2D"/>
    <w:rsid w:val="00C16616"/>
    <w:rsid w:val="00C34E7F"/>
    <w:rsid w:val="00C352AF"/>
    <w:rsid w:val="00C36937"/>
    <w:rsid w:val="00C465DF"/>
    <w:rsid w:val="00C75A49"/>
    <w:rsid w:val="00CA0C09"/>
    <w:rsid w:val="00CA335D"/>
    <w:rsid w:val="00CC7711"/>
    <w:rsid w:val="00CC7A45"/>
    <w:rsid w:val="00CD15E4"/>
    <w:rsid w:val="00CE2A5D"/>
    <w:rsid w:val="00CF1DCF"/>
    <w:rsid w:val="00D02895"/>
    <w:rsid w:val="00D07B90"/>
    <w:rsid w:val="00D2529C"/>
    <w:rsid w:val="00D549BE"/>
    <w:rsid w:val="00D73D7A"/>
    <w:rsid w:val="00D87D75"/>
    <w:rsid w:val="00DA14EF"/>
    <w:rsid w:val="00DB550D"/>
    <w:rsid w:val="00DC0599"/>
    <w:rsid w:val="00DC2925"/>
    <w:rsid w:val="00DD2579"/>
    <w:rsid w:val="00DD4014"/>
    <w:rsid w:val="00DE28DB"/>
    <w:rsid w:val="00DE7541"/>
    <w:rsid w:val="00E00802"/>
    <w:rsid w:val="00E24382"/>
    <w:rsid w:val="00E347C9"/>
    <w:rsid w:val="00E639D2"/>
    <w:rsid w:val="00E826A0"/>
    <w:rsid w:val="00E84301"/>
    <w:rsid w:val="00E84B50"/>
    <w:rsid w:val="00E960A8"/>
    <w:rsid w:val="00EA0C4A"/>
    <w:rsid w:val="00EA0F00"/>
    <w:rsid w:val="00EA7379"/>
    <w:rsid w:val="00EF1BA5"/>
    <w:rsid w:val="00EF2CE3"/>
    <w:rsid w:val="00EF5106"/>
    <w:rsid w:val="00F038EC"/>
    <w:rsid w:val="00F303E6"/>
    <w:rsid w:val="00F32CAF"/>
    <w:rsid w:val="00F33EB7"/>
    <w:rsid w:val="00F5201D"/>
    <w:rsid w:val="00F64CA7"/>
    <w:rsid w:val="00F71870"/>
    <w:rsid w:val="00F73580"/>
    <w:rsid w:val="00F83AD0"/>
    <w:rsid w:val="00FC09F2"/>
    <w:rsid w:val="00FC2AA0"/>
    <w:rsid w:val="00FC4C6D"/>
    <w:rsid w:val="00FF22F3"/>
    <w:rsid w:val="0BBB3EAF"/>
    <w:rsid w:val="14D77905"/>
    <w:rsid w:val="25F14F75"/>
    <w:rsid w:val="2EBE1217"/>
    <w:rsid w:val="305B234C"/>
    <w:rsid w:val="5559756F"/>
    <w:rsid w:val="61D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D25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D257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D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57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D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D2579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D2579"/>
    <w:pPr>
      <w:ind w:firstLineChars="200" w:firstLine="420"/>
    </w:pPr>
  </w:style>
  <w:style w:type="paragraph" w:customStyle="1" w:styleId="a7">
    <w:name w:val="文头"/>
    <w:basedOn w:val="a"/>
    <w:uiPriority w:val="99"/>
    <w:rsid w:val="008B321F"/>
    <w:pPr>
      <w:autoSpaceDE w:val="0"/>
      <w:autoSpaceDN w:val="0"/>
      <w:adjustRightInd w:val="0"/>
      <w:snapToGrid w:val="0"/>
      <w:spacing w:before="720" w:line="590" w:lineRule="atLeast"/>
      <w:jc w:val="center"/>
    </w:pPr>
    <w:rPr>
      <w:rFonts w:ascii="汉鼎简大宋" w:eastAsia="汉鼎简大宋" w:hAnsi="Times New Roman"/>
      <w:color w:val="FF0000"/>
      <w:spacing w:val="120"/>
      <w:w w:val="98"/>
      <w:kern w:val="0"/>
      <w:sz w:val="56"/>
      <w:szCs w:val="20"/>
    </w:rPr>
  </w:style>
  <w:style w:type="paragraph" w:styleId="a8">
    <w:name w:val="Date"/>
    <w:basedOn w:val="a"/>
    <w:next w:val="a"/>
    <w:link w:val="Char2"/>
    <w:uiPriority w:val="99"/>
    <w:semiHidden/>
    <w:rsid w:val="008B321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8B321F"/>
    <w:rPr>
      <w:rFonts w:cs="Times New Roman"/>
      <w:kern w:val="2"/>
      <w:sz w:val="22"/>
      <w:szCs w:val="22"/>
    </w:rPr>
  </w:style>
  <w:style w:type="paragraph" w:customStyle="1" w:styleId="p0">
    <w:name w:val="p0"/>
    <w:basedOn w:val="a"/>
    <w:rsid w:val="001C74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Plain Text"/>
    <w:basedOn w:val="a"/>
    <w:link w:val="Char3"/>
    <w:qFormat/>
    <w:rsid w:val="002C5D52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qFormat/>
    <w:rsid w:val="002C5D52"/>
    <w:rPr>
      <w:rFonts w:ascii="宋体" w:hAnsi="Courier New" w:cs="Courier New"/>
      <w:szCs w:val="21"/>
    </w:rPr>
  </w:style>
  <w:style w:type="paragraph" w:styleId="aa">
    <w:name w:val="Note Heading"/>
    <w:basedOn w:val="a"/>
    <w:next w:val="a"/>
    <w:link w:val="Char4"/>
    <w:qFormat/>
    <w:rsid w:val="00B10884"/>
    <w:pPr>
      <w:jc w:val="center"/>
    </w:pPr>
    <w:rPr>
      <w:rFonts w:asciiTheme="minorHAnsi" w:eastAsiaTheme="minorEastAsia" w:hAnsiTheme="minorHAnsi" w:cstheme="minorBidi"/>
    </w:rPr>
  </w:style>
  <w:style w:type="character" w:customStyle="1" w:styleId="Char4">
    <w:name w:val="注释标题 Char"/>
    <w:basedOn w:val="a0"/>
    <w:link w:val="aa"/>
    <w:uiPriority w:val="99"/>
    <w:rsid w:val="00B10884"/>
    <w:rPr>
      <w:rFonts w:asciiTheme="minorHAnsi" w:eastAsiaTheme="minorEastAsia" w:hAnsiTheme="minorHAnsi" w:cstheme="minorBidi"/>
    </w:rPr>
  </w:style>
  <w:style w:type="character" w:customStyle="1" w:styleId="Bodytext2">
    <w:name w:val="Body text|2_"/>
    <w:basedOn w:val="a0"/>
    <w:link w:val="Bodytext20"/>
    <w:rsid w:val="005B738B"/>
    <w:rPr>
      <w:rFonts w:ascii="PMingLiU" w:eastAsia="PMingLiU" w:hAnsi="PMingLiU" w:cs="PMingLiU"/>
      <w:sz w:val="28"/>
      <w:szCs w:val="28"/>
      <w:shd w:val="clear" w:color="auto" w:fill="FFFFFF"/>
    </w:rPr>
  </w:style>
  <w:style w:type="character" w:customStyle="1" w:styleId="Heading21">
    <w:name w:val="Heading #2|1_"/>
    <w:basedOn w:val="a0"/>
    <w:link w:val="Heading210"/>
    <w:rsid w:val="005B738B"/>
    <w:rPr>
      <w:rFonts w:ascii="PMingLiU" w:eastAsia="PMingLiU" w:hAnsi="PMingLiU" w:cs="PMingLiU"/>
      <w:b/>
      <w:bCs/>
      <w:sz w:val="30"/>
      <w:szCs w:val="30"/>
      <w:shd w:val="clear" w:color="auto" w:fill="FFFFFF"/>
    </w:rPr>
  </w:style>
  <w:style w:type="character" w:customStyle="1" w:styleId="Bodytext215pt">
    <w:name w:val="Body text|2 + 15 pt"/>
    <w:aliases w:val="Bold"/>
    <w:basedOn w:val="Bodytext2"/>
    <w:semiHidden/>
    <w:unhideWhenUsed/>
    <w:rsid w:val="005B738B"/>
    <w:rPr>
      <w:b/>
      <w:bCs/>
      <w:color w:val="000000"/>
      <w:spacing w:val="0"/>
      <w:w w:val="100"/>
      <w:position w:val="0"/>
      <w:sz w:val="30"/>
      <w:szCs w:val="30"/>
      <w:lang w:val="zh-CN" w:eastAsia="zh-CN" w:bidi="zh-CN"/>
    </w:rPr>
  </w:style>
  <w:style w:type="paragraph" w:customStyle="1" w:styleId="Bodytext20">
    <w:name w:val="Body text|2"/>
    <w:basedOn w:val="a"/>
    <w:link w:val="Bodytext2"/>
    <w:qFormat/>
    <w:rsid w:val="005B738B"/>
    <w:pPr>
      <w:shd w:val="clear" w:color="auto" w:fill="FFFFFF"/>
      <w:spacing w:before="740" w:after="560" w:line="562" w:lineRule="exact"/>
      <w:jc w:val="left"/>
    </w:pPr>
    <w:rPr>
      <w:rFonts w:ascii="PMingLiU" w:eastAsia="PMingLiU" w:hAnsi="PMingLiU" w:cs="PMingLiU"/>
      <w:sz w:val="28"/>
      <w:szCs w:val="28"/>
    </w:rPr>
  </w:style>
  <w:style w:type="paragraph" w:customStyle="1" w:styleId="Heading210">
    <w:name w:val="Heading #2|1"/>
    <w:basedOn w:val="a"/>
    <w:link w:val="Heading21"/>
    <w:qFormat/>
    <w:rsid w:val="005B738B"/>
    <w:pPr>
      <w:shd w:val="clear" w:color="auto" w:fill="FFFFFF"/>
      <w:spacing w:before="560" w:line="569" w:lineRule="exact"/>
      <w:ind w:firstLine="660"/>
      <w:jc w:val="left"/>
      <w:outlineLvl w:val="1"/>
    </w:pPr>
    <w:rPr>
      <w:rFonts w:ascii="PMingLiU" w:eastAsia="PMingLiU" w:hAnsi="PMingLiU" w:cs="PMingLiU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CE018-962B-4DF2-8B4B-AB1E0FD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1620</Characters>
  <Application>Microsoft Office Word</Application>
  <DocSecurity>0</DocSecurity>
  <Lines>13</Lines>
  <Paragraphs>3</Paragraphs>
  <ScaleCrop>false</ScaleCrop>
  <Company>微软中国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</dc:title>
  <dc:subject/>
  <dc:creator>abby</dc:creator>
  <cp:keywords/>
  <dc:description/>
  <cp:lastModifiedBy>微软用户</cp:lastModifiedBy>
  <cp:revision>3</cp:revision>
  <cp:lastPrinted>2019-05-22T06:47:00Z</cp:lastPrinted>
  <dcterms:created xsi:type="dcterms:W3CDTF">2019-05-22T06:45:00Z</dcterms:created>
  <dcterms:modified xsi:type="dcterms:W3CDTF">2019-05-22T06:47:00Z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