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/>
          <w:szCs w:val="32"/>
        </w:rPr>
      </w:pPr>
      <w:r>
        <w:rPr>
          <w:rFonts w:ascii="Times New Roman" w:hAnsi="Times New Roman" w:eastAsia="黑体"/>
          <w:szCs w:val="32"/>
        </w:rPr>
        <w:t>附件3</w:t>
      </w: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自然灾害防范应对工作任务清单</w:t>
      </w:r>
    </w:p>
    <w:tbl>
      <w:tblPr>
        <w:tblStyle w:val="3"/>
        <w:tblW w:w="139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395"/>
        <w:gridCol w:w="3087"/>
        <w:gridCol w:w="3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2" w:hRule="atLeast"/>
          <w:tblHeader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工作任务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时间安排</w:t>
            </w:r>
          </w:p>
        </w:tc>
        <w:tc>
          <w:tcPr>
            <w:tcW w:w="350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责任单位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9" w:hRule="atLeast"/>
          <w:jc w:val="center"/>
        </w:trPr>
        <w:tc>
          <w:tcPr>
            <w:tcW w:w="13989" w:type="dxa"/>
            <w:gridSpan w:val="3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一、安全保供方面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07" w:hRule="atLeast"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1.强化电力运行分析研判，完善电力迎峰度冬负荷管理方案。深入研判今冬明春天然气供需形势，做细供暖季天然气压非保民供应应急预案。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2024年12月底前完成</w:t>
            </w:r>
          </w:p>
        </w:tc>
        <w:tc>
          <w:tcPr>
            <w:tcW w:w="35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FF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建设办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7" w:hRule="atLeast"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2.全覆盖开展电力安全生产检查和油气长输管道安全风险专项检查，消除风险隐患。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每月落实，贯穿专项行动全过程</w:t>
            </w:r>
          </w:p>
        </w:tc>
        <w:tc>
          <w:tcPr>
            <w:tcW w:w="35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FF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建设办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7" w:hRule="atLeast"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  <w:t>二</w:t>
            </w: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、防范应对和应急值守方面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35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7" w:hRule="atLeast"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4.聚焦寒潮、大风大雾、低温雨雪冰冻等灾害性天气，加强监测预警、会商研判和提示警示。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每周开展，贯穿专项行动全过程</w:t>
            </w:r>
          </w:p>
        </w:tc>
        <w:tc>
          <w:tcPr>
            <w:tcW w:w="35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镇防指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07" w:hRule="atLeast"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5.加强值班值守，严格执行元旦、春节等重要时段领导干部到岗带班、关键岗位24小时值班和事故信息报告制度。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每日落实，贯穿专项行动全过程</w:t>
            </w:r>
          </w:p>
        </w:tc>
        <w:tc>
          <w:tcPr>
            <w:tcW w:w="35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镇政府、各村（社区）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8" w:hRule="atLeast"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6.加强应急物资准备，确保必要的物资保障。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2024年12月底前完成</w:t>
            </w:r>
          </w:p>
        </w:tc>
        <w:tc>
          <w:tcPr>
            <w:tcW w:w="35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镇防指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8" w:hRule="atLeast"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7.健全完善各项应急预案和措施，加强前置备勤、救援演练和舆情监测引导，确保能迅速响应、有效处置。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每日落实，贯穿专项行动全过程</w:t>
            </w:r>
          </w:p>
        </w:tc>
        <w:tc>
          <w:tcPr>
            <w:tcW w:w="35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镇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防指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65" w:hRule="atLeast"/>
          <w:jc w:val="center"/>
        </w:trPr>
        <w:tc>
          <w:tcPr>
            <w:tcW w:w="7395" w:type="dxa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8.密切关注灾情发展态势，推动指挥、力量和装备三靠前，落实专业指挥和现场管理刚性要求，科学组织救灾救援，指导支持受灾地区有序推进灾后恢复重建和群众救助。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35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镇防指</w:t>
            </w:r>
          </w:p>
        </w:tc>
      </w:tr>
    </w:tbl>
    <w:p>
      <w:pPr>
        <w:spacing w:line="560" w:lineRule="exact"/>
        <w:rPr>
          <w:rFonts w:ascii="Times New Roman" w:hAnsi="Times New Roman"/>
          <w:sz w:val="21"/>
          <w:szCs w:val="21"/>
        </w:rPr>
      </w:pPr>
    </w:p>
    <w:p>
      <w:bookmarkStart w:id="0" w:name="_GoBack"/>
      <w:bookmarkEnd w:id="0"/>
    </w:p>
    <w:sectPr>
      <w:footerReference r:id="rId3" w:type="default"/>
      <w:pgSz w:w="16838" w:h="11906" w:orient="landscape"/>
      <w:pgMar w:top="2098" w:right="1474" w:bottom="1984" w:left="1474" w:header="851" w:footer="992" w:gutter="0"/>
      <w:cols w:space="72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18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3OTIwOTQ4ZjgwYzMyNTVmM2U2M2MzOWZmODQxODQifQ=="/>
  </w:docVars>
  <w:rsids>
    <w:rsidRoot w:val="00000000"/>
    <w:rsid w:val="623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2024-12-24T02:55:26Z</dcterms:created>
  <dc:creator>HP</dc:creator>
  <cp:lastModifiedBy>如果。</cp:lastModifiedBy>
  <dcterms:modified xsi:type="dcterms:W3CDTF">2024-12-24T02:55:31Z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AADCE853F2914232A55372B778931CA4</vt:lpwstr>
  </property>
</Properties>
</file>