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szCs w:val="32"/>
        </w:rPr>
      </w:pPr>
      <w:r>
        <w:rPr>
          <w:rFonts w:ascii="Times New Roman" w:hAnsi="Times New Roman" w:eastAsia="黑体"/>
          <w:szCs w:val="32"/>
        </w:rPr>
        <w:t>附件2</w:t>
      </w:r>
    </w:p>
    <w:p>
      <w:pPr>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“一件事”全链条安全治理工作任务清单</w:t>
      </w:r>
    </w:p>
    <w:tbl>
      <w:tblPr>
        <w:tblStyle w:val="2"/>
        <w:tblW w:w="13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395"/>
        <w:gridCol w:w="3087"/>
        <w:gridCol w:w="3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7" w:hRule="atLeast"/>
          <w:tblHeader/>
          <w:jc w:val="center"/>
        </w:trPr>
        <w:tc>
          <w:tcPr>
            <w:tcW w:w="7395"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工作任务</w:t>
            </w:r>
          </w:p>
        </w:tc>
        <w:tc>
          <w:tcPr>
            <w:tcW w:w="3087"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时间安排</w:t>
            </w:r>
          </w:p>
        </w:tc>
        <w:tc>
          <w:tcPr>
            <w:tcW w:w="3507"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2"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一、燃气方面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1.加快推进管道“带病运行”专项治理，年度安排的所有存量问题管道更新改造任务全部开工。</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2.推进城市生命线安全工程燃气专项建设，提供数据支撑，整治第三方施工破坏。</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3.开展餐饮企业、养老院、医院、学校等重点场所检查，督促燃气企业严格落实入户安检、随瓶安检制度，及时发现整改使用环节的风险隐患，督促指导用户及时更换不合格“灶管阀”。</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4"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二、电动自行车方面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4.推进充电装置和防火隔离设施建设，按计划完成住宅小区内地下半地下停放充电场所安全改造，对无法通过改造达到安全条件的，要坚决停用，另行选址建设</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各村社区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5.落实《电动自行车用锂离子蓄电池安全技术规范》等强标，加强生产销售质量监督，推进以旧换新，打击非法改装、违规停放充电等行为。</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市监分局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6.推动企事业单位场所在其建设、使用电动自行车集中充电停放场所，推广配备消防长钩、锂电池专用灭火器、智能AI摄像头“新三件套”。2025年春节前基本覆盖。</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2025年春节前完成</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各相关部门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三、“厂中厂”方面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7.开展“厂中厂”治理“回头看”，对重点地区逐一过筛，彻底拆除占用防火间距和消防通道违章搭建，打通“生命通道”。</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8.深入排查“厂中厂”内粉尘、冶金铸造、化纤等高风险企业，及时清退不具备安全生产条件的承租企业。</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四、化工和危化品方面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b/>
                <w:bCs/>
                <w:sz w:val="24"/>
                <w:szCs w:val="24"/>
              </w:rPr>
            </w:pPr>
            <w:r>
              <w:rPr>
                <w:rFonts w:ascii="Times New Roman" w:hAnsi="Times New Roman" w:eastAsia="仿宋_GB2312"/>
                <w:sz w:val="24"/>
                <w:szCs w:val="24"/>
              </w:rPr>
              <w:t>9.推进园区外化工企业“一企一策”整治提升，开展重点危化品企业安全审计工作。</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配合市</w:t>
            </w:r>
            <w:r>
              <w:rPr>
                <w:rFonts w:ascii="Times New Roman" w:hAnsi="Times New Roman" w:eastAsia="仿宋_GB2312"/>
                <w:sz w:val="24"/>
                <w:szCs w:val="24"/>
              </w:rPr>
              <w:t>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10.推进化工和危险化学品企业老旧装置更新改造，提升企业本质安全水平。</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配合市</w:t>
            </w:r>
            <w:r>
              <w:rPr>
                <w:rFonts w:ascii="Times New Roman" w:hAnsi="Times New Roman" w:eastAsia="仿宋_GB2312"/>
                <w:sz w:val="24"/>
                <w:szCs w:val="24"/>
              </w:rPr>
              <w:t>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11.推进职能部门各司其职、密切合作，严密管控危化品生产、储存、经营、运输、使用、废弃处置等各环节的风险。</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配合市</w:t>
            </w:r>
            <w:r>
              <w:rPr>
                <w:rFonts w:ascii="Times New Roman" w:hAnsi="Times New Roman" w:eastAsia="仿宋_GB2312"/>
                <w:sz w:val="24"/>
                <w:szCs w:val="24"/>
              </w:rPr>
              <w:t>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7"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五、高层建筑消防方面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jc w:val="left"/>
              <w:rPr>
                <w:rFonts w:ascii="Times New Roman" w:hAnsi="Times New Roman" w:eastAsia="仿宋_GB2312"/>
                <w:b/>
                <w:bCs/>
                <w:sz w:val="24"/>
                <w:szCs w:val="24"/>
              </w:rPr>
            </w:pPr>
            <w:r>
              <w:rPr>
                <w:rFonts w:hint="default" w:ascii="Times New Roman" w:hAnsi="Times New Roman" w:eastAsia="仿宋_GB2312" w:cs="Times New Roman"/>
                <w:sz w:val="24"/>
                <w:szCs w:val="24"/>
                <w:highlight w:val="none"/>
                <w:u w:val="none"/>
                <w:lang w:val="en-US" w:eastAsia="zh-CN"/>
              </w:rPr>
              <w:t>12.聚焦消防水系统无水、电缆井防火封堵不到位、地下电动汽车库不符合消防安全要求等问题，加大排查整治力度。</w:t>
            </w:r>
          </w:p>
        </w:tc>
        <w:tc>
          <w:tcPr>
            <w:tcW w:w="3087" w:type="dxa"/>
            <w:noWrap w:val="0"/>
            <w:vAlign w:val="center"/>
          </w:tcPr>
          <w:p>
            <w:pPr>
              <w:spacing w:line="400" w:lineRule="exact"/>
              <w:jc w:val="center"/>
              <w:rPr>
                <w:rFonts w:ascii="Times New Roman" w:hAnsi="Times New Roman" w:eastAsia="仿宋_GB2312"/>
                <w:b/>
                <w:bCs/>
                <w:sz w:val="24"/>
                <w:szCs w:val="24"/>
              </w:rPr>
            </w:pPr>
            <w:r>
              <w:rPr>
                <w:rFonts w:hint="default" w:ascii="Times New Roman" w:hAnsi="Times New Roman" w:eastAsia="仿宋_GB2312" w:cs="Times New Roman"/>
                <w:color w:val="auto"/>
                <w:sz w:val="24"/>
                <w:szCs w:val="24"/>
                <w:highlight w:val="none"/>
                <w:u w:val="none"/>
                <w:lang w:val="en-US" w:eastAsia="zh-CN"/>
              </w:rPr>
              <w:t>每月落实，</w:t>
            </w:r>
            <w:r>
              <w:rPr>
                <w:rFonts w:hint="default" w:ascii="Times New Roman" w:hAnsi="Times New Roman" w:eastAsia="仿宋_GB2312" w:cs="Times New Roman"/>
                <w:color w:val="auto"/>
                <w:sz w:val="24"/>
                <w:szCs w:val="24"/>
                <w:highlight w:val="none"/>
                <w:u w:val="none"/>
              </w:rPr>
              <w:t>贯穿专项行动全过程</w:t>
            </w:r>
          </w:p>
        </w:tc>
        <w:tc>
          <w:tcPr>
            <w:tcW w:w="3507" w:type="dxa"/>
            <w:noWrap w:val="0"/>
            <w:vAlign w:val="center"/>
          </w:tcPr>
          <w:p>
            <w:pPr>
              <w:spacing w:line="400" w:lineRule="exact"/>
              <w:jc w:val="center"/>
              <w:rPr>
                <w:rFonts w:ascii="Times New Roman" w:hAnsi="Times New Roman" w:eastAsia="仿宋_GB2312"/>
                <w:b/>
                <w:bCs/>
                <w:sz w:val="24"/>
                <w:szCs w:val="24"/>
              </w:rPr>
            </w:pPr>
            <w:r>
              <w:rPr>
                <w:rFonts w:hint="eastAsia" w:ascii="Times New Roman" w:hAnsi="Times New Roman" w:eastAsia="仿宋_GB2312" w:cs="Times New Roman"/>
                <w:sz w:val="24"/>
                <w:szCs w:val="24"/>
                <w:highlight w:val="none"/>
                <w:u w:val="none"/>
                <w:lang w:val="en-US" w:eastAsia="zh-CN"/>
              </w:rPr>
              <w:t>建设办</w:t>
            </w:r>
            <w:r>
              <w:rPr>
                <w:rFonts w:hint="default" w:ascii="Times New Roman" w:hAnsi="Times New Roman" w:eastAsia="仿宋_GB2312" w:cs="Times New Roman"/>
                <w:sz w:val="24"/>
                <w:szCs w:val="24"/>
                <w:highlight w:val="none"/>
                <w:u w:val="none"/>
                <w:lang w:val="en-US" w:eastAsia="zh-CN"/>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5" w:hRule="atLeast"/>
          <w:jc w:val="center"/>
        </w:trPr>
        <w:tc>
          <w:tcPr>
            <w:tcW w:w="7395" w:type="dxa"/>
            <w:noWrap w:val="0"/>
            <w:vAlign w:val="center"/>
          </w:tcPr>
          <w:p>
            <w:pPr>
              <w:spacing w:line="400" w:lineRule="exact"/>
              <w:jc w:val="left"/>
              <w:rPr>
                <w:rFonts w:ascii="Times New Roman" w:hAnsi="Times New Roman" w:eastAsia="仿宋_GB2312"/>
                <w:b/>
                <w:bCs/>
                <w:sz w:val="24"/>
                <w:szCs w:val="24"/>
              </w:rPr>
            </w:pPr>
            <w:r>
              <w:rPr>
                <w:rFonts w:hint="default" w:ascii="Times New Roman" w:hAnsi="Times New Roman" w:eastAsia="仿宋_GB2312" w:cs="Times New Roman"/>
                <w:sz w:val="24"/>
                <w:szCs w:val="24"/>
                <w:highlight w:val="none"/>
                <w:u w:val="none"/>
                <w:lang w:val="en-US" w:eastAsia="zh-CN"/>
              </w:rPr>
              <w:t>13.加快推进消防车通道、消防车登高操作场地、消防水泵接合器落实标识化管理。</w:t>
            </w:r>
          </w:p>
        </w:tc>
        <w:tc>
          <w:tcPr>
            <w:tcW w:w="3087" w:type="dxa"/>
            <w:noWrap w:val="0"/>
            <w:vAlign w:val="center"/>
          </w:tcPr>
          <w:p>
            <w:pPr>
              <w:spacing w:line="400" w:lineRule="exact"/>
              <w:jc w:val="center"/>
              <w:rPr>
                <w:rFonts w:ascii="Times New Roman" w:hAnsi="Times New Roman" w:eastAsia="仿宋_GB2312"/>
                <w:b/>
                <w:bCs/>
                <w:sz w:val="24"/>
                <w:szCs w:val="24"/>
              </w:rPr>
            </w:pPr>
            <w:r>
              <w:rPr>
                <w:rFonts w:hint="default" w:ascii="Times New Roman" w:hAnsi="Times New Roman" w:eastAsia="仿宋_GB2312" w:cs="Times New Roman"/>
                <w:color w:val="auto"/>
                <w:sz w:val="24"/>
                <w:szCs w:val="24"/>
                <w:highlight w:val="none"/>
                <w:u w:val="none"/>
                <w:lang w:val="en-US" w:eastAsia="zh-CN"/>
              </w:rPr>
              <w:t>每月落实，</w:t>
            </w:r>
            <w:r>
              <w:rPr>
                <w:rFonts w:hint="default" w:ascii="Times New Roman" w:hAnsi="Times New Roman" w:eastAsia="仿宋_GB2312" w:cs="Times New Roman"/>
                <w:color w:val="auto"/>
                <w:sz w:val="24"/>
                <w:szCs w:val="24"/>
                <w:highlight w:val="none"/>
                <w:u w:val="none"/>
              </w:rPr>
              <w:t>贯穿专项行动全过程</w:t>
            </w:r>
          </w:p>
        </w:tc>
        <w:tc>
          <w:tcPr>
            <w:tcW w:w="3507" w:type="dxa"/>
            <w:noWrap w:val="0"/>
            <w:vAlign w:val="center"/>
          </w:tcPr>
          <w:p>
            <w:pPr>
              <w:spacing w:line="400" w:lineRule="exact"/>
              <w:jc w:val="center"/>
              <w:rPr>
                <w:rFonts w:ascii="Times New Roman" w:hAnsi="Times New Roman" w:eastAsia="仿宋_GB2312"/>
                <w:b/>
                <w:bCs/>
                <w:sz w:val="24"/>
                <w:szCs w:val="24"/>
              </w:rPr>
            </w:pPr>
            <w:r>
              <w:rPr>
                <w:rFonts w:hint="eastAsia" w:ascii="Times New Roman" w:hAnsi="Times New Roman" w:eastAsia="仿宋_GB2312" w:cs="Times New Roman"/>
                <w:sz w:val="24"/>
                <w:szCs w:val="24"/>
                <w:highlight w:val="none"/>
                <w:u w:val="none"/>
                <w:lang w:val="en-US" w:eastAsia="zh-CN"/>
              </w:rPr>
              <w:t>建设办</w:t>
            </w:r>
            <w:r>
              <w:rPr>
                <w:rFonts w:hint="default" w:ascii="Times New Roman" w:hAnsi="Times New Roman" w:eastAsia="仿宋_GB2312" w:cs="Times New Roman"/>
                <w:sz w:val="24"/>
                <w:szCs w:val="24"/>
                <w:highlight w:val="none"/>
                <w:u w:val="none"/>
                <w:lang w:val="en-US" w:eastAsia="zh-CN"/>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jc w:val="center"/>
        </w:trPr>
        <w:tc>
          <w:tcPr>
            <w:tcW w:w="13989"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六、建筑外墙外保温材料方面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b/>
                <w:bCs/>
                <w:sz w:val="24"/>
                <w:szCs w:val="24"/>
              </w:rPr>
            </w:pPr>
            <w:r>
              <w:rPr>
                <w:rFonts w:ascii="Times New Roman" w:hAnsi="Times New Roman" w:eastAsia="仿宋_GB2312"/>
                <w:sz w:val="24"/>
                <w:szCs w:val="24"/>
              </w:rPr>
              <w:t>14.加强保温材料生产质量监管，推广使用绿色建材，规范市场销售行为，强化施工图设计审查把关，严格落实保温材料现场检测要求。</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b/>
                <w:bCs/>
                <w:sz w:val="24"/>
                <w:szCs w:val="24"/>
              </w:rPr>
            </w:pPr>
            <w:r>
              <w:rPr>
                <w:rFonts w:ascii="Times New Roman" w:hAnsi="Times New Roman" w:eastAsia="仿宋_GB2312"/>
                <w:sz w:val="24"/>
                <w:szCs w:val="24"/>
              </w:rPr>
              <w:t>15.督促用于我市在建房屋市政工程的建筑保温材料生产供应企业通过“建筑材料信息归集系统”进行信息归集，生成二维码。督促建设、施工、监理单位扫码查看供应企业产品信息，未进行信息归集的批次产品不得进场。督促监理（建设）单位扫码填报信息生成《见证取样记录表》，对无《见证取样记录表》的送检样品，检测机构不得收样。</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b/>
                <w:bCs/>
                <w:sz w:val="24"/>
                <w:szCs w:val="24"/>
              </w:rPr>
              <w:t>七、电气焊作业方面</w:t>
            </w:r>
          </w:p>
        </w:tc>
        <w:tc>
          <w:tcPr>
            <w:tcW w:w="3087" w:type="dxa"/>
            <w:noWrap w:val="0"/>
            <w:vAlign w:val="center"/>
          </w:tcPr>
          <w:p>
            <w:pPr>
              <w:spacing w:line="400" w:lineRule="exact"/>
              <w:jc w:val="center"/>
              <w:rPr>
                <w:rFonts w:ascii="Times New Roman" w:hAnsi="Times New Roman" w:eastAsia="仿宋_GB2312"/>
                <w:sz w:val="24"/>
                <w:szCs w:val="24"/>
              </w:rPr>
            </w:pPr>
          </w:p>
        </w:tc>
        <w:tc>
          <w:tcPr>
            <w:tcW w:w="3507" w:type="dxa"/>
            <w:noWrap w:val="0"/>
            <w:vAlign w:val="center"/>
          </w:tcPr>
          <w:p>
            <w:pPr>
              <w:spacing w:line="400" w:lineRule="exact"/>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16.加大“苏心焊”数字化监管系统、“电气焊供需平台”等应用力度，对电气焊作业进行实时监控和风险预警。</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17.严格落实企业动火作业报备、作业人员资格审核等各项要求，加强动火作业监管。</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各相关部门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18.加强小型零星工程、临时施工等电气焊作业管理。</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3"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19.严格开展电气焊作业培训考试和发证工作，实行“逢查必验”制度，对无证上岗行为加大执法检查力度，严厉打击制假售假、倒卖电气焊作业操作证等行为。</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配合市</w:t>
            </w:r>
            <w:r>
              <w:rPr>
                <w:rFonts w:ascii="Times New Roman" w:hAnsi="Times New Roman" w:eastAsia="仿宋_GB2312"/>
                <w:sz w:val="24"/>
                <w:szCs w:val="24"/>
              </w:rPr>
              <w:t>应急局、住建局、市场监管局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32"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b/>
                <w:bCs/>
                <w:sz w:val="24"/>
                <w:szCs w:val="24"/>
              </w:rPr>
              <w:t>八、新能源汽车充电基础设施方面</w:t>
            </w:r>
          </w:p>
        </w:tc>
        <w:tc>
          <w:tcPr>
            <w:tcW w:w="3087" w:type="dxa"/>
            <w:noWrap w:val="0"/>
            <w:vAlign w:val="center"/>
          </w:tcPr>
          <w:p>
            <w:pPr>
              <w:spacing w:line="400" w:lineRule="exact"/>
              <w:jc w:val="center"/>
              <w:rPr>
                <w:rFonts w:ascii="Times New Roman" w:hAnsi="Times New Roman" w:eastAsia="仿宋_GB2312"/>
                <w:sz w:val="24"/>
                <w:szCs w:val="24"/>
              </w:rPr>
            </w:pPr>
          </w:p>
        </w:tc>
        <w:tc>
          <w:tcPr>
            <w:tcW w:w="3507" w:type="dxa"/>
            <w:noWrap w:val="0"/>
            <w:vAlign w:val="center"/>
          </w:tcPr>
          <w:p>
            <w:pPr>
              <w:spacing w:line="400" w:lineRule="exact"/>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20.强化新能源汽车充电桩产品质量安全监管，加强规划建设管控和日常维护管理，提高安全监测预警能力。</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经发办</w:t>
            </w:r>
            <w:r>
              <w:rPr>
                <w:rFonts w:ascii="Times New Roman" w:hAnsi="Times New Roman" w:eastAsia="仿宋_GB2312"/>
                <w:sz w:val="24"/>
                <w:szCs w:val="24"/>
              </w:rPr>
              <w:t>牵头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b/>
                <w:bCs/>
                <w:sz w:val="24"/>
                <w:szCs w:val="24"/>
              </w:rPr>
              <w:t>九、基层消防安全方面</w:t>
            </w:r>
          </w:p>
        </w:tc>
        <w:tc>
          <w:tcPr>
            <w:tcW w:w="3087" w:type="dxa"/>
            <w:noWrap w:val="0"/>
            <w:vAlign w:val="center"/>
          </w:tcPr>
          <w:p>
            <w:pPr>
              <w:spacing w:line="400" w:lineRule="exact"/>
              <w:jc w:val="center"/>
              <w:rPr>
                <w:rFonts w:ascii="Times New Roman" w:hAnsi="Times New Roman" w:eastAsia="仿宋_GB2312"/>
                <w:sz w:val="24"/>
                <w:szCs w:val="24"/>
              </w:rPr>
            </w:pPr>
          </w:p>
        </w:tc>
        <w:tc>
          <w:tcPr>
            <w:tcW w:w="3507" w:type="dxa"/>
            <w:noWrap w:val="0"/>
            <w:vAlign w:val="center"/>
          </w:tcPr>
          <w:p>
            <w:pPr>
              <w:spacing w:line="400" w:lineRule="exact"/>
              <w:jc w:val="center"/>
              <w:rPr>
                <w:rFonts w:ascii="Times New Roman" w:hAnsi="Times New Roman"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21.研究推进镇（街道）“一支队伍管安全和消防”要求，把公共安全隐患排查上报作为城乡网格化服务管理重要内容，推动基层应急和政府消防专职队、消防工作站融合建设。</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镇政府、综合执法办（安监）、城西消防救援站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22.开展安全生产专职网格员能力提升冬训，提升安全生产专职网格员专业能力。</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2024年12月至2025年1月</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23.加强宾馆酒店疏散逃生通道安全管理，做好住宿人员疏散通道的告知和安全提醒工作。</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经发办（服务业）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395"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24.加强社会治理现代化综合指挥平台和省社会面小场所安全治理平台数据对接，动态更新场所情况；全量小场所明确对应行业主管部门、专项监管部门及属地管理部门，全数明确配备1名消防指导员和1名安全巡查员。督促每季度开展不少于一次的安全巡查，排查上报安全隐患，认真推动整改到位。</w:t>
            </w:r>
          </w:p>
        </w:tc>
        <w:tc>
          <w:tcPr>
            <w:tcW w:w="3087"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507"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综合办（民意中心）</w:t>
            </w:r>
            <w:r>
              <w:rPr>
                <w:rFonts w:ascii="Times New Roman" w:hAnsi="Times New Roman" w:eastAsia="仿宋_GB2312"/>
                <w:sz w:val="24"/>
                <w:szCs w:val="24"/>
              </w:rPr>
              <w:t>牵头</w:t>
            </w:r>
          </w:p>
        </w:tc>
      </w:tr>
    </w:tbl>
    <w:p>
      <w:r>
        <w:rPr>
          <w:rFonts w:ascii="Times New Roman" w:hAnsi="Times New Roman"/>
        </w:rPr>
        <w:br w:type="page"/>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3OTIwOTQ4ZjgwYzMyNTVmM2U2M2MzOWZmODQxODQifQ=="/>
  </w:docVars>
  <w:rsids>
    <w:rsidRoot w:val="00000000"/>
    <w:rsid w:val="73E01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2024-12-24T02:55:06Z</dcterms:created>
  <dc:creator>HP</dc:creator>
  <cp:lastModifiedBy>如果。</cp:lastModifiedBy>
  <dcterms:modified xsi:type="dcterms:W3CDTF">2024-12-24T02:55:13Z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445CAC77B0F741EA8B1FFD6B6FF6D0FE</vt:lpwstr>
  </property>
</Properties>
</file>