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Times New Roman" w:hAnsi="Times New Roman" w:eastAsia="黑体"/>
          <w:szCs w:val="32"/>
        </w:rPr>
      </w:pPr>
      <w:r>
        <w:rPr>
          <w:rFonts w:ascii="Times New Roman" w:hAnsi="Times New Roman" w:eastAsia="黑体"/>
          <w:szCs w:val="32"/>
        </w:rPr>
        <w:t>附件1</w:t>
      </w:r>
    </w:p>
    <w:p>
      <w:pPr>
        <w:spacing w:line="560" w:lineRule="exact"/>
        <w:jc w:val="center"/>
        <w:rPr>
          <w:rFonts w:ascii="Times New Roman" w:hAnsi="Times New Roman" w:eastAsia="方正小标宋简体"/>
          <w:sz w:val="44"/>
          <w:szCs w:val="44"/>
        </w:rPr>
      </w:pPr>
      <w:r>
        <w:rPr>
          <w:rFonts w:ascii="Times New Roman" w:hAnsi="Times New Roman" w:eastAsia="方正小标宋简体"/>
          <w:sz w:val="44"/>
          <w:szCs w:val="44"/>
        </w:rPr>
        <w:t>重点行业领域隐患排查整治工作任务清单</w:t>
      </w:r>
    </w:p>
    <w:tbl>
      <w:tblPr>
        <w:tblStyle w:val="3"/>
        <w:tblW w:w="14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7417"/>
        <w:gridCol w:w="3096"/>
        <w:gridCol w:w="3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07" w:hRule="atLeast"/>
          <w:tblHeader/>
          <w:jc w:val="center"/>
        </w:trPr>
        <w:tc>
          <w:tcPr>
            <w:tcW w:w="7417" w:type="dxa"/>
            <w:noWrap w:val="0"/>
            <w:vAlign w:val="center"/>
          </w:tcPr>
          <w:p>
            <w:pPr>
              <w:spacing w:line="560" w:lineRule="exact"/>
              <w:jc w:val="center"/>
              <w:rPr>
                <w:rFonts w:ascii="Times New Roman" w:hAnsi="Times New Roman" w:eastAsia="黑体"/>
                <w:sz w:val="28"/>
                <w:szCs w:val="28"/>
              </w:rPr>
            </w:pPr>
            <w:r>
              <w:rPr>
                <w:rFonts w:ascii="Times New Roman" w:hAnsi="Times New Roman" w:eastAsia="黑体"/>
                <w:sz w:val="28"/>
                <w:szCs w:val="28"/>
              </w:rPr>
              <w:t>工作任务</w:t>
            </w:r>
          </w:p>
        </w:tc>
        <w:tc>
          <w:tcPr>
            <w:tcW w:w="3096" w:type="dxa"/>
            <w:noWrap w:val="0"/>
            <w:vAlign w:val="center"/>
          </w:tcPr>
          <w:p>
            <w:pPr>
              <w:spacing w:line="560" w:lineRule="exact"/>
              <w:jc w:val="center"/>
              <w:rPr>
                <w:rFonts w:ascii="Times New Roman" w:hAnsi="Times New Roman" w:eastAsia="黑体"/>
                <w:sz w:val="28"/>
                <w:szCs w:val="28"/>
              </w:rPr>
            </w:pPr>
            <w:r>
              <w:rPr>
                <w:rFonts w:ascii="Times New Roman" w:hAnsi="Times New Roman" w:eastAsia="黑体"/>
                <w:sz w:val="28"/>
                <w:szCs w:val="28"/>
              </w:rPr>
              <w:t>时间安排</w:t>
            </w:r>
          </w:p>
        </w:tc>
        <w:tc>
          <w:tcPr>
            <w:tcW w:w="3733" w:type="dxa"/>
            <w:noWrap w:val="0"/>
            <w:vAlign w:val="center"/>
          </w:tcPr>
          <w:p>
            <w:pPr>
              <w:spacing w:line="560" w:lineRule="exact"/>
              <w:jc w:val="center"/>
              <w:rPr>
                <w:rFonts w:ascii="Times New Roman" w:hAnsi="Times New Roman" w:eastAsia="黑体"/>
                <w:sz w:val="28"/>
                <w:szCs w:val="28"/>
              </w:rPr>
            </w:pPr>
            <w:r>
              <w:rPr>
                <w:rFonts w:ascii="Times New Roman" w:hAnsi="Times New Roman" w:eastAsia="黑体"/>
                <w:sz w:val="28"/>
                <w:szCs w:val="28"/>
              </w:rPr>
              <w:t>责任单位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9" w:hRule="atLeast"/>
          <w:jc w:val="center"/>
        </w:trPr>
        <w:tc>
          <w:tcPr>
            <w:tcW w:w="14246" w:type="dxa"/>
            <w:gridSpan w:val="3"/>
            <w:noWrap w:val="0"/>
            <w:vAlign w:val="center"/>
          </w:tcPr>
          <w:p>
            <w:pPr>
              <w:spacing w:line="560" w:lineRule="exact"/>
              <w:jc w:val="left"/>
              <w:rPr>
                <w:rFonts w:ascii="Times New Roman" w:hAnsi="Times New Roman" w:eastAsia="仿宋_GB2312"/>
                <w:sz w:val="24"/>
                <w:szCs w:val="24"/>
              </w:rPr>
            </w:pPr>
            <w:r>
              <w:rPr>
                <w:rFonts w:ascii="Times New Roman" w:hAnsi="Times New Roman" w:eastAsia="仿宋_GB2312"/>
                <w:b/>
                <w:bCs/>
                <w:sz w:val="24"/>
                <w:szCs w:val="24"/>
              </w:rPr>
              <w:t>一、危化品方面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0"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1.编制危化品企业冬季防冻防凝措施清单，督促做好设备、电气仪表等防冻防凝工作。</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2024年12月底前完成</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综合执法办（安监）配合市应急局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17"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2.督促严格落实检维修等要求，严格落实设备设施及人员防静电措施。</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综合执法办（安监）配合市应急局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78"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3.强化重大危险源监测监控，开展在线巡查。</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每日开展</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综合执法办（安监）配合市应急局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47"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4.督促企业严格规范特殊作业电子票证填写、审批，开展特殊作业执法监督检查。</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综合执法办（安监）配合市应急局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5" w:hRule="atLeast"/>
          <w:jc w:val="center"/>
        </w:trPr>
        <w:tc>
          <w:tcPr>
            <w:tcW w:w="14246" w:type="dxa"/>
            <w:gridSpan w:val="3"/>
            <w:noWrap w:val="0"/>
            <w:vAlign w:val="center"/>
          </w:tcPr>
          <w:p>
            <w:pPr>
              <w:spacing w:line="400" w:lineRule="exact"/>
              <w:jc w:val="left"/>
              <w:rPr>
                <w:rFonts w:ascii="Times New Roman" w:hAnsi="Times New Roman" w:eastAsia="仿宋_GB2312"/>
                <w:sz w:val="24"/>
                <w:szCs w:val="24"/>
              </w:rPr>
            </w:pPr>
            <w:r>
              <w:rPr>
                <w:rFonts w:ascii="Times New Roman" w:hAnsi="Times New Roman" w:eastAsia="仿宋_GB2312"/>
                <w:b/>
                <w:bCs/>
                <w:sz w:val="24"/>
                <w:szCs w:val="24"/>
              </w:rPr>
              <w:t>二、冶金等工贸方面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5.加强动火作业、熔融金属吊运、检维修等高风险作业安全管理，扎实开展全员安全教育培训和反“三违”工作。</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6.推动金属熔融企业做好熔炼炉水冷设施及管路的保暖防护，严防水冷设备失效导致炉体烧穿。</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7.督促金属熔融企业采取防冻措施防止铸造系统冷却水及应急水上冻，抽查熔铸区域监控视频，严防员工违章作业。</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8.加快实现粉尘涉爆企业湿式除尘和“单机单管”，督促做好湿式除尘器、水管的保暖防冻，加大粉尘清理力度。</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84" w:hRule="atLeast"/>
          <w:jc w:val="center"/>
        </w:trPr>
        <w:tc>
          <w:tcPr>
            <w:tcW w:w="14246" w:type="dxa"/>
            <w:gridSpan w:val="3"/>
            <w:noWrap w:val="0"/>
            <w:vAlign w:val="center"/>
          </w:tcPr>
          <w:p>
            <w:pPr>
              <w:spacing w:line="400" w:lineRule="exact"/>
              <w:jc w:val="left"/>
              <w:rPr>
                <w:rFonts w:ascii="Times New Roman" w:hAnsi="Times New Roman" w:eastAsia="仿宋_GB2312"/>
                <w:sz w:val="24"/>
                <w:szCs w:val="24"/>
              </w:rPr>
            </w:pPr>
            <w:r>
              <w:rPr>
                <w:rFonts w:hint="eastAsia" w:ascii="Times New Roman" w:hAnsi="Times New Roman" w:eastAsia="仿宋_GB2312"/>
                <w:b/>
                <w:bCs/>
                <w:sz w:val="24"/>
                <w:szCs w:val="24"/>
                <w:lang w:val="en-US" w:eastAsia="zh-CN"/>
              </w:rPr>
              <w:t>三</w:t>
            </w:r>
            <w:r>
              <w:rPr>
                <w:rFonts w:ascii="Times New Roman" w:hAnsi="Times New Roman" w:eastAsia="仿宋_GB2312"/>
                <w:b/>
                <w:bCs/>
                <w:sz w:val="24"/>
                <w:szCs w:val="24"/>
              </w:rPr>
              <w:t>、建筑施工方面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hint="eastAsia" w:ascii="Times New Roman" w:hAnsi="Times New Roman" w:eastAsia="仿宋_GB2312"/>
                <w:sz w:val="24"/>
                <w:szCs w:val="24"/>
                <w:lang w:val="en-US" w:eastAsia="zh-CN"/>
              </w:rPr>
              <w:t>9.</w:t>
            </w:r>
            <w:r>
              <w:rPr>
                <w:rFonts w:ascii="Times New Roman" w:hAnsi="Times New Roman" w:eastAsia="仿宋_GB2312"/>
                <w:sz w:val="24"/>
                <w:szCs w:val="24"/>
              </w:rPr>
              <w:t>加强深基坑、高支模、起重机械设备安拆等危大工程安全管理，严防高空坠落、物体打击、坍塌渗漏、有限空间中毒等事故。</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建设办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lang w:val="en-US" w:eastAsia="zh-CN"/>
              </w:rPr>
              <w:t>0</w:t>
            </w:r>
            <w:r>
              <w:rPr>
                <w:rFonts w:ascii="Times New Roman" w:hAnsi="Times New Roman" w:eastAsia="仿宋_GB2312"/>
                <w:sz w:val="24"/>
                <w:szCs w:val="24"/>
              </w:rPr>
              <w:t>.严查工地和集宿区违规使用大功率照明、取暖、电加热器具，乱拉、乱接用电设施，门窗处设置影响逃生的铁栅栏等问题。</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2025年3月底前完成</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建设办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14246" w:type="dxa"/>
            <w:gridSpan w:val="3"/>
            <w:noWrap w:val="0"/>
            <w:vAlign w:val="center"/>
          </w:tcPr>
          <w:p>
            <w:pPr>
              <w:spacing w:line="400" w:lineRule="exact"/>
              <w:jc w:val="left"/>
              <w:rPr>
                <w:rFonts w:ascii="Times New Roman" w:hAnsi="Times New Roman" w:eastAsia="仿宋_GB2312"/>
                <w:sz w:val="24"/>
                <w:szCs w:val="24"/>
              </w:rPr>
            </w:pPr>
            <w:r>
              <w:rPr>
                <w:rFonts w:hint="eastAsia" w:ascii="Times New Roman" w:hAnsi="Times New Roman" w:eastAsia="仿宋_GB2312"/>
                <w:b/>
                <w:bCs/>
                <w:sz w:val="24"/>
                <w:szCs w:val="24"/>
                <w:lang w:val="en-US" w:eastAsia="zh-CN"/>
              </w:rPr>
              <w:t>四</w:t>
            </w:r>
            <w:r>
              <w:rPr>
                <w:rFonts w:ascii="Times New Roman" w:hAnsi="Times New Roman" w:eastAsia="仿宋_GB2312"/>
                <w:b/>
                <w:bCs/>
                <w:sz w:val="24"/>
                <w:szCs w:val="24"/>
              </w:rPr>
              <w:t>、交通运输方面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lang w:val="en-US" w:eastAsia="zh-CN"/>
              </w:rPr>
              <w:t>1</w:t>
            </w:r>
            <w:r>
              <w:rPr>
                <w:rFonts w:ascii="Times New Roman" w:hAnsi="Times New Roman" w:eastAsia="仿宋_GB2312"/>
                <w:sz w:val="24"/>
                <w:szCs w:val="24"/>
              </w:rPr>
              <w:t>.督促全市所有“两客一危”道路运输企业全覆盖应用行前测评系统、主动安防系统，加强驾驶员安全教育和安全提醒。</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城厢交警中队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lang w:val="en-US" w:eastAsia="zh-CN"/>
              </w:rPr>
              <w:t>2</w:t>
            </w:r>
            <w:r>
              <w:rPr>
                <w:rFonts w:ascii="Times New Roman" w:hAnsi="Times New Roman" w:eastAsia="仿宋_GB2312"/>
                <w:sz w:val="24"/>
                <w:szCs w:val="24"/>
              </w:rPr>
              <w:t>.加强“安全码”赋码执法检查，督促经营单位全面核验安全码，落实红码车辆和驾驶员不允许装货、载客。</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城厢交警中队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72"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lang w:val="en-US" w:eastAsia="zh-CN"/>
              </w:rPr>
              <w:t>3</w:t>
            </w:r>
            <w:r>
              <w:rPr>
                <w:rFonts w:ascii="Times New Roman" w:hAnsi="Times New Roman" w:eastAsia="仿宋_GB2312"/>
                <w:sz w:val="24"/>
                <w:szCs w:val="24"/>
              </w:rPr>
              <w:t>.督促各地梳理形成老旧营运客车清单，督促车辆所属经营者排查关键部件技术状况，严格闭环整改。</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2024年12月底前完成</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城厢交警中队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97"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lang w:val="en-US" w:eastAsia="zh-CN"/>
              </w:rPr>
              <w:t>4</w:t>
            </w:r>
            <w:r>
              <w:rPr>
                <w:rFonts w:ascii="Times New Roman" w:hAnsi="Times New Roman" w:eastAsia="仿宋_GB2312"/>
                <w:sz w:val="24"/>
                <w:szCs w:val="24"/>
              </w:rPr>
              <w:t>.开展一轮</w:t>
            </w:r>
            <w:r>
              <w:rPr>
                <w:rFonts w:hint="eastAsia" w:ascii="Times New Roman" w:hAnsi="Times New Roman" w:eastAsia="仿宋_GB2312"/>
                <w:sz w:val="24"/>
                <w:szCs w:val="24"/>
              </w:rPr>
              <w:t>镇村级</w:t>
            </w:r>
            <w:r>
              <w:rPr>
                <w:rFonts w:ascii="Times New Roman" w:hAnsi="Times New Roman" w:eastAsia="仿宋_GB2312"/>
                <w:sz w:val="24"/>
                <w:szCs w:val="24"/>
              </w:rPr>
              <w:t>公路防灾抗灾能力设计回溯专项行动，完成风险点及隐患问题分类治理。</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2025年3月中旬前完成</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建设办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50"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lang w:val="en-US" w:eastAsia="zh-CN"/>
              </w:rPr>
              <w:t>5</w:t>
            </w:r>
            <w:r>
              <w:rPr>
                <w:rFonts w:ascii="Times New Roman" w:hAnsi="Times New Roman" w:eastAsia="仿宋_GB2312"/>
                <w:sz w:val="24"/>
                <w:szCs w:val="24"/>
              </w:rPr>
              <w:t>.围绕学校、景区景点、农村集镇等人员密集场所周边路口，完成7处事故多发易发的路口道路基础设施不健全、交通管理设施不完善、道路交通组织不科学等隐患问题整改。</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2025年春节前完成</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城厢交警中队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0" w:hRule="atLeast"/>
          <w:jc w:val="center"/>
        </w:trPr>
        <w:tc>
          <w:tcPr>
            <w:tcW w:w="14246" w:type="dxa"/>
            <w:gridSpan w:val="3"/>
            <w:noWrap w:val="0"/>
            <w:vAlign w:val="center"/>
          </w:tcPr>
          <w:p>
            <w:pPr>
              <w:spacing w:line="400" w:lineRule="exact"/>
              <w:jc w:val="left"/>
              <w:rPr>
                <w:rFonts w:ascii="Times New Roman" w:hAnsi="Times New Roman" w:eastAsia="仿宋_GB2312"/>
                <w:sz w:val="24"/>
                <w:szCs w:val="24"/>
              </w:rPr>
            </w:pPr>
            <w:r>
              <w:rPr>
                <w:rFonts w:hint="eastAsia" w:ascii="Times New Roman" w:hAnsi="Times New Roman" w:eastAsia="仿宋_GB2312"/>
                <w:b/>
                <w:bCs/>
                <w:sz w:val="24"/>
                <w:szCs w:val="24"/>
                <w:lang w:val="en-US" w:eastAsia="zh-CN"/>
              </w:rPr>
              <w:t>五</w:t>
            </w:r>
            <w:r>
              <w:rPr>
                <w:rFonts w:ascii="Times New Roman" w:hAnsi="Times New Roman" w:eastAsia="仿宋_GB2312"/>
                <w:b/>
                <w:bCs/>
                <w:sz w:val="24"/>
                <w:szCs w:val="24"/>
              </w:rPr>
              <w:t>、消防方面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1</w:t>
            </w:r>
            <w:r>
              <w:rPr>
                <w:rFonts w:hint="eastAsia" w:ascii="Times New Roman" w:hAnsi="Times New Roman" w:eastAsia="仿宋_GB2312"/>
                <w:sz w:val="24"/>
                <w:szCs w:val="24"/>
                <w:lang w:val="en-US" w:eastAsia="zh-CN"/>
              </w:rPr>
              <w:t>6</w:t>
            </w:r>
            <w:r>
              <w:rPr>
                <w:rFonts w:ascii="Times New Roman" w:hAnsi="Times New Roman" w:eastAsia="仿宋_GB2312"/>
                <w:sz w:val="24"/>
                <w:szCs w:val="24"/>
              </w:rPr>
              <w:t>.推动重点领域企业单位场所按规定配备智能烟感报警装置、消火栓、一键警报广播“三件套”。2025年元旦节前完成90%重点单位场所覆盖，春节前基本覆盖重点单位场所。</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2025年春节前完成</w:t>
            </w:r>
          </w:p>
        </w:tc>
        <w:tc>
          <w:tcPr>
            <w:tcW w:w="3733"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各重点领域部门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050" w:hRule="atLeast"/>
          <w:jc w:val="center"/>
        </w:trPr>
        <w:tc>
          <w:tcPr>
            <w:tcW w:w="7417" w:type="dxa"/>
            <w:noWrap w:val="0"/>
            <w:vAlign w:val="center"/>
          </w:tcPr>
          <w:p>
            <w:pPr>
              <w:spacing w:line="400" w:lineRule="exact"/>
              <w:rPr>
                <w:rFonts w:ascii="Times New Roman" w:hAnsi="Times New Roman" w:eastAsia="仿宋_GB2312"/>
                <w:sz w:val="24"/>
                <w:szCs w:val="24"/>
              </w:rPr>
            </w:pPr>
            <w:r>
              <w:rPr>
                <w:rFonts w:hint="eastAsia" w:ascii="Times New Roman" w:hAnsi="Times New Roman" w:eastAsia="仿宋_GB2312"/>
                <w:sz w:val="24"/>
                <w:szCs w:val="24"/>
              </w:rPr>
              <w:t>1</w:t>
            </w:r>
            <w:r>
              <w:rPr>
                <w:rFonts w:hint="eastAsia" w:ascii="Times New Roman" w:hAnsi="Times New Roman" w:eastAsia="仿宋_GB2312"/>
                <w:sz w:val="24"/>
                <w:szCs w:val="24"/>
                <w:lang w:val="en-US" w:eastAsia="zh-CN"/>
              </w:rPr>
              <w:t>7</w:t>
            </w:r>
            <w:r>
              <w:rPr>
                <w:rFonts w:ascii="Times New Roman" w:hAnsi="Times New Roman" w:eastAsia="仿宋_GB2312"/>
                <w:sz w:val="24"/>
                <w:szCs w:val="24"/>
              </w:rPr>
              <w:t>.聚焦大型商业综合体、公共娱乐、学校、医院、宾馆饭店等人员密集场所以及多业态混合生产经营场所、社会面小场所，排查整治逃生通道设置不合理、违规占用堵塞以及冬春用火用电用气等安全隐患。</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每周开展，贯穿专项行动全过程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各重点领域部门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25" w:hRule="atLeast"/>
          <w:jc w:val="center"/>
        </w:trPr>
        <w:tc>
          <w:tcPr>
            <w:tcW w:w="7417" w:type="dxa"/>
            <w:noWrap w:val="0"/>
            <w:vAlign w:val="center"/>
          </w:tcPr>
          <w:p>
            <w:pPr>
              <w:spacing w:line="400" w:lineRule="exact"/>
              <w:rPr>
                <w:rFonts w:ascii="Times New Roman" w:hAnsi="Times New Roman" w:eastAsia="仿宋_GB2312"/>
                <w:sz w:val="24"/>
                <w:szCs w:val="24"/>
              </w:rPr>
            </w:pPr>
            <w:r>
              <w:rPr>
                <w:rFonts w:hint="eastAsia" w:ascii="Times New Roman" w:hAnsi="Times New Roman" w:eastAsia="仿宋_GB2312"/>
                <w:sz w:val="24"/>
                <w:szCs w:val="24"/>
                <w:lang w:val="en-US" w:eastAsia="zh-CN"/>
              </w:rPr>
              <w:t>18</w:t>
            </w:r>
            <w:r>
              <w:rPr>
                <w:rFonts w:ascii="Times New Roman" w:hAnsi="Times New Roman" w:eastAsia="仿宋_GB2312"/>
                <w:sz w:val="24"/>
                <w:szCs w:val="24"/>
              </w:rPr>
              <w:t>.持续推进“拆窗破网”行动，拆除影响安全疏散和灭火救援的广告牌、铁栅栏等障碍物。</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每周开展，贯穿专项行动全过程</w:t>
            </w:r>
          </w:p>
        </w:tc>
        <w:tc>
          <w:tcPr>
            <w:tcW w:w="3733" w:type="dxa"/>
            <w:noWrap w:val="0"/>
            <w:vAlign w:val="center"/>
          </w:tcPr>
          <w:p>
            <w:pPr>
              <w:spacing w:line="400" w:lineRule="exact"/>
              <w:jc w:val="center"/>
              <w:rPr>
                <w:rFonts w:hint="eastAsia" w:ascii="Times New Roman" w:hAnsi="Times New Roman" w:eastAsia="仿宋_GB2312"/>
                <w:sz w:val="24"/>
                <w:szCs w:val="24"/>
              </w:rPr>
            </w:pPr>
            <w:r>
              <w:rPr>
                <w:rFonts w:hint="eastAsia" w:ascii="Times New Roman" w:hAnsi="Times New Roman" w:eastAsia="仿宋_GB2312"/>
                <w:sz w:val="24"/>
                <w:szCs w:val="24"/>
              </w:rPr>
              <w:t>综合执法办（城管、安监）</w:t>
            </w:r>
          </w:p>
          <w:p>
            <w:pPr>
              <w:spacing w:line="400" w:lineRule="exact"/>
              <w:jc w:val="center"/>
              <w:rPr>
                <w:rFonts w:hint="default" w:ascii="Times New Roman" w:hAnsi="Times New Roman" w:eastAsia="仿宋_GB2312"/>
                <w:sz w:val="24"/>
                <w:szCs w:val="24"/>
                <w:lang w:val="en-US" w:eastAsia="zh-CN"/>
              </w:rPr>
            </w:pPr>
            <w:r>
              <w:rPr>
                <w:rFonts w:hint="eastAsia" w:ascii="Times New Roman" w:hAnsi="Times New Roman" w:eastAsia="仿宋_GB2312"/>
                <w:sz w:val="24"/>
                <w:szCs w:val="24"/>
                <w:lang w:val="en-US" w:eastAsia="zh-CN"/>
              </w:rPr>
              <w:t>各村（社区）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14246" w:type="dxa"/>
            <w:gridSpan w:val="3"/>
            <w:noWrap w:val="0"/>
            <w:vAlign w:val="center"/>
          </w:tcPr>
          <w:p>
            <w:pPr>
              <w:spacing w:line="400" w:lineRule="exact"/>
              <w:jc w:val="left"/>
              <w:rPr>
                <w:rFonts w:ascii="Times New Roman" w:hAnsi="Times New Roman" w:eastAsia="仿宋_GB2312"/>
                <w:sz w:val="24"/>
                <w:szCs w:val="24"/>
              </w:rPr>
            </w:pPr>
            <w:r>
              <w:rPr>
                <w:rFonts w:hint="eastAsia" w:ascii="Times New Roman" w:hAnsi="Times New Roman" w:eastAsia="仿宋_GB2312"/>
                <w:b/>
                <w:bCs/>
                <w:sz w:val="24"/>
                <w:szCs w:val="24"/>
                <w:lang w:val="en-US" w:eastAsia="zh-CN"/>
              </w:rPr>
              <w:t>六</w:t>
            </w:r>
            <w:r>
              <w:rPr>
                <w:rFonts w:ascii="Times New Roman" w:hAnsi="Times New Roman" w:eastAsia="仿宋_GB2312"/>
                <w:b/>
                <w:bCs/>
                <w:sz w:val="24"/>
                <w:szCs w:val="24"/>
              </w:rPr>
              <w:t>、文化旅游方面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hint="eastAsia" w:ascii="Times New Roman" w:hAnsi="Times New Roman" w:eastAsia="仿宋_GB2312"/>
                <w:sz w:val="24"/>
                <w:szCs w:val="24"/>
                <w:lang w:val="en-US" w:eastAsia="zh-CN"/>
              </w:rPr>
              <w:t>19</w:t>
            </w:r>
            <w:r>
              <w:rPr>
                <w:rFonts w:ascii="Times New Roman" w:hAnsi="Times New Roman" w:eastAsia="仿宋_GB2312"/>
                <w:sz w:val="24"/>
                <w:szCs w:val="24"/>
              </w:rPr>
              <w:t>.针对A级旅游景区内设施设备和高风险旅游项目极端天气应对措施进行逐一排查，完善应急预案。</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2024年12月底前完成</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lang w:val="en-US" w:eastAsia="zh-CN"/>
              </w:rPr>
              <w:t>经发办</w:t>
            </w:r>
            <w:r>
              <w:rPr>
                <w:rFonts w:hint="eastAsia" w:ascii="Times New Roman" w:hAnsi="Times New Roman" w:eastAsia="仿宋_GB2312"/>
                <w:sz w:val="24"/>
                <w:szCs w:val="24"/>
              </w:rPr>
              <w:t>（</w:t>
            </w:r>
            <w:r>
              <w:rPr>
                <w:rFonts w:hint="eastAsia" w:ascii="Times New Roman" w:hAnsi="Times New Roman" w:eastAsia="仿宋_GB2312"/>
                <w:sz w:val="24"/>
                <w:szCs w:val="24"/>
                <w:lang w:val="en-US" w:eastAsia="zh-CN"/>
              </w:rPr>
              <w:t>服务业</w:t>
            </w:r>
            <w:r>
              <w:rPr>
                <w:rFonts w:hint="eastAsia" w:ascii="Times New Roman" w:hAnsi="Times New Roman" w:eastAsia="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hint="eastAsia" w:ascii="Times New Roman" w:hAnsi="Times New Roman" w:eastAsia="仿宋_GB2312"/>
                <w:sz w:val="24"/>
                <w:szCs w:val="24"/>
                <w:lang w:val="en-US" w:eastAsia="zh-CN"/>
              </w:rPr>
              <w:t>20</w:t>
            </w:r>
            <w:r>
              <w:rPr>
                <w:rFonts w:ascii="Times New Roman" w:hAnsi="Times New Roman" w:eastAsia="仿宋_GB2312"/>
                <w:sz w:val="24"/>
                <w:szCs w:val="24"/>
              </w:rPr>
              <w:t>.开展旅游包车“五不租用”制度落实专项排查整治，压实旅行社落实旅游包车规定。</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2024年12月底前完成</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lang w:val="en-US" w:eastAsia="zh-CN"/>
              </w:rPr>
              <w:t>经发办</w:t>
            </w:r>
            <w:r>
              <w:rPr>
                <w:rFonts w:hint="eastAsia" w:ascii="Times New Roman" w:hAnsi="Times New Roman" w:eastAsia="仿宋_GB2312"/>
                <w:sz w:val="24"/>
                <w:szCs w:val="24"/>
              </w:rPr>
              <w:t>（</w:t>
            </w:r>
            <w:r>
              <w:rPr>
                <w:rFonts w:hint="eastAsia" w:ascii="Times New Roman" w:hAnsi="Times New Roman" w:eastAsia="仿宋_GB2312"/>
                <w:sz w:val="24"/>
                <w:szCs w:val="24"/>
                <w:lang w:val="en-US" w:eastAsia="zh-CN"/>
              </w:rPr>
              <w:t>服务业</w:t>
            </w:r>
            <w:r>
              <w:rPr>
                <w:rFonts w:hint="eastAsia" w:ascii="Times New Roman" w:hAnsi="Times New Roman" w:eastAsia="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b/>
                <w:bCs/>
                <w:sz w:val="24"/>
                <w:szCs w:val="24"/>
              </w:rPr>
            </w:pPr>
            <w:r>
              <w:rPr>
                <w:rFonts w:ascii="Times New Roman" w:hAnsi="Times New Roman" w:eastAsia="仿宋_GB2312"/>
                <w:sz w:val="24"/>
                <w:szCs w:val="24"/>
              </w:rPr>
              <w:t>2</w:t>
            </w:r>
            <w:r>
              <w:rPr>
                <w:rFonts w:hint="eastAsia" w:ascii="Times New Roman" w:hAnsi="Times New Roman" w:eastAsia="仿宋_GB2312"/>
                <w:sz w:val="24"/>
                <w:szCs w:val="24"/>
                <w:lang w:val="en-US" w:eastAsia="zh-CN"/>
              </w:rPr>
              <w:t>1</w:t>
            </w:r>
            <w:r>
              <w:rPr>
                <w:rFonts w:ascii="Times New Roman" w:hAnsi="Times New Roman" w:eastAsia="仿宋_GB2312"/>
                <w:sz w:val="24"/>
                <w:szCs w:val="24"/>
              </w:rPr>
              <w:t>.加强小型游乐设施管理，组织摸清底数，开展小型游乐设施风险评估、检验、检测等，做好设备本体安全风险防范和隐患排查治理。</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每周开展，贯穿专项行动全过程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市监城厢分局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lang w:val="en-US" w:eastAsia="zh-CN"/>
              </w:rPr>
              <w:t>2</w:t>
            </w:r>
            <w:r>
              <w:rPr>
                <w:rFonts w:ascii="Times New Roman" w:hAnsi="Times New Roman" w:eastAsia="仿宋_GB2312"/>
                <w:sz w:val="24"/>
                <w:szCs w:val="24"/>
              </w:rPr>
              <w:t>.落实大型营业性演出活动风险研判和社会稳定风险评估，督促落实大型营业性演出方职责，保障演出安全有序。</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社会事业办（文体）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ascii="Times New Roman" w:hAnsi="Times New Roman" w:eastAsia="仿宋_GB2312"/>
                <w:sz w:val="24"/>
                <w:szCs w:val="24"/>
              </w:rPr>
              <w:t>2</w:t>
            </w:r>
            <w:r>
              <w:rPr>
                <w:rFonts w:hint="eastAsia" w:ascii="Times New Roman" w:hAnsi="Times New Roman" w:eastAsia="仿宋_GB2312"/>
                <w:sz w:val="24"/>
                <w:szCs w:val="24"/>
                <w:lang w:val="en-US" w:eastAsia="zh-CN"/>
              </w:rPr>
              <w:t>3</w:t>
            </w:r>
            <w:r>
              <w:rPr>
                <w:rFonts w:ascii="Times New Roman" w:hAnsi="Times New Roman" w:eastAsia="仿宋_GB2312"/>
                <w:sz w:val="24"/>
                <w:szCs w:val="24"/>
              </w:rPr>
              <w:t>.制订体育赛事安全保卫方案和应急预案，按照“一赛一案”要求建立“熔断机制”。</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每月落实，贯穿专项行动全过程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社会事业办（文体）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37" w:hRule="atLeast"/>
          <w:jc w:val="center"/>
        </w:trPr>
        <w:tc>
          <w:tcPr>
            <w:tcW w:w="14246" w:type="dxa"/>
            <w:gridSpan w:val="3"/>
            <w:noWrap w:val="0"/>
            <w:vAlign w:val="center"/>
          </w:tcPr>
          <w:p>
            <w:pPr>
              <w:spacing w:line="400" w:lineRule="exact"/>
              <w:jc w:val="left"/>
              <w:rPr>
                <w:rFonts w:ascii="Times New Roman" w:hAnsi="Times New Roman" w:eastAsia="仿宋_GB2312"/>
                <w:sz w:val="24"/>
                <w:szCs w:val="24"/>
              </w:rPr>
            </w:pPr>
            <w:r>
              <w:rPr>
                <w:rFonts w:hint="eastAsia" w:ascii="Times New Roman" w:hAnsi="Times New Roman" w:eastAsia="仿宋_GB2312"/>
                <w:b/>
                <w:bCs/>
                <w:sz w:val="24"/>
                <w:szCs w:val="24"/>
                <w:lang w:val="en-US" w:eastAsia="zh-CN"/>
              </w:rPr>
              <w:t>七</w:t>
            </w:r>
            <w:r>
              <w:rPr>
                <w:rFonts w:ascii="Times New Roman" w:hAnsi="Times New Roman" w:eastAsia="仿宋_GB2312"/>
                <w:b/>
                <w:bCs/>
                <w:sz w:val="24"/>
                <w:szCs w:val="24"/>
              </w:rPr>
              <w:t>、废弃厂房、冷库等方面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hint="eastAsia" w:ascii="Times New Roman" w:hAnsi="Times New Roman" w:eastAsia="仿宋_GB2312"/>
                <w:sz w:val="24"/>
                <w:szCs w:val="24"/>
              </w:rPr>
              <w:t>2</w:t>
            </w:r>
            <w:r>
              <w:rPr>
                <w:rFonts w:hint="eastAsia" w:ascii="Times New Roman" w:hAnsi="Times New Roman" w:eastAsia="仿宋_GB2312"/>
                <w:sz w:val="24"/>
                <w:szCs w:val="24"/>
                <w:lang w:val="en-US" w:eastAsia="zh-CN"/>
              </w:rPr>
              <w:t>4</w:t>
            </w:r>
            <w:r>
              <w:rPr>
                <w:rFonts w:ascii="Times New Roman" w:hAnsi="Times New Roman" w:eastAsia="仿宋_GB2312"/>
                <w:sz w:val="24"/>
                <w:szCs w:val="24"/>
              </w:rPr>
              <w:t>.排查长期停产停建或者疏于管理或无人值守的废弃厂房、闲置仓库等，长期无人居住（使用）、尚未拆除、烂尾楼盘、失管漏管等存在安全隐患的房屋，以及前期排查中因废弃</w:t>
            </w:r>
            <w:bookmarkStart w:id="1" w:name="_GoBack"/>
            <w:bookmarkEnd w:id="1"/>
            <w:r>
              <w:rPr>
                <w:rFonts w:ascii="Times New Roman" w:hAnsi="Times New Roman" w:eastAsia="仿宋_GB2312"/>
                <w:sz w:val="24"/>
                <w:szCs w:val="24"/>
              </w:rPr>
              <w:t>、局部坍塌等原因认定为不需要排查的房屋，梳理掌握基本底数和安全风险现状。</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2024年12月中旬前完成</w:t>
            </w:r>
          </w:p>
        </w:tc>
        <w:tc>
          <w:tcPr>
            <w:tcW w:w="3733" w:type="dxa"/>
            <w:noWrap w:val="0"/>
            <w:vAlign w:val="center"/>
          </w:tcPr>
          <w:p>
            <w:pPr>
              <w:spacing w:line="400" w:lineRule="exact"/>
              <w:jc w:val="center"/>
              <w:rPr>
                <w:rFonts w:ascii="Times New Roman" w:hAnsi="Times New Roman" w:eastAsia="仿宋_GB2312"/>
                <w:sz w:val="24"/>
                <w:szCs w:val="24"/>
              </w:rPr>
            </w:pPr>
            <w:bookmarkStart w:id="0" w:name="OLE_LINK2"/>
            <w:r>
              <w:rPr>
                <w:rFonts w:hint="eastAsia" w:ascii="Times New Roman" w:hAnsi="Times New Roman" w:eastAsia="仿宋_GB2312"/>
                <w:sz w:val="24"/>
                <w:szCs w:val="24"/>
              </w:rPr>
              <w:t>建设办</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hint="eastAsia" w:ascii="Times New Roman" w:hAnsi="Times New Roman" w:eastAsia="仿宋_GB2312"/>
                <w:sz w:val="24"/>
                <w:szCs w:val="24"/>
              </w:rPr>
              <w:t>2</w:t>
            </w:r>
            <w:r>
              <w:rPr>
                <w:rFonts w:hint="eastAsia" w:ascii="Times New Roman" w:hAnsi="Times New Roman" w:eastAsia="仿宋_GB2312"/>
                <w:sz w:val="24"/>
                <w:szCs w:val="24"/>
                <w:lang w:val="en-US" w:eastAsia="zh-CN"/>
              </w:rPr>
              <w:t>5</w:t>
            </w:r>
            <w:r>
              <w:rPr>
                <w:rFonts w:ascii="Times New Roman" w:hAnsi="Times New Roman" w:eastAsia="仿宋_GB2312"/>
                <w:sz w:val="24"/>
                <w:szCs w:val="24"/>
              </w:rPr>
              <w:t>.排查发现存在房屋结构安全隐患的，及时落实封闭、设置安全围挡等措施，该拆除的坚决拆除；对涉嫌非法违法生产经营建设储存的，坚决予以打击；对组织拆除作业的，落实安全防护措施，强化作业现场管控；对废弃不用的，督促责任人做好封闭、断电、断水等措施。</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2024年12月底前完成</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建设办、综合执法办（安监）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hint="eastAsia" w:ascii="Times New Roman" w:hAnsi="Times New Roman" w:eastAsia="仿宋_GB2312"/>
                <w:sz w:val="24"/>
                <w:szCs w:val="24"/>
              </w:rPr>
              <w:t>2</w:t>
            </w:r>
            <w:r>
              <w:rPr>
                <w:rFonts w:hint="eastAsia" w:ascii="Times New Roman" w:hAnsi="Times New Roman" w:eastAsia="仿宋_GB2312"/>
                <w:sz w:val="24"/>
                <w:szCs w:val="24"/>
                <w:lang w:val="en-US" w:eastAsia="zh-CN"/>
              </w:rPr>
              <w:t>6</w:t>
            </w:r>
            <w:r>
              <w:rPr>
                <w:rFonts w:ascii="Times New Roman" w:hAnsi="Times New Roman" w:eastAsia="仿宋_GB2312"/>
                <w:sz w:val="24"/>
                <w:szCs w:val="24"/>
              </w:rPr>
              <w:t>.排查工矿企业冷库、屠宰企业等冷库、商场市场、批发市场等涉及冷库，以及各类在建冷库，形成管理底数清单。</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2024年12月底前开展新一轮全覆盖专项检查</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w:t>
            </w:r>
            <w:r>
              <w:rPr>
                <w:rFonts w:ascii="Times New Roman" w:hAnsi="Times New Roman" w:eastAsia="仿宋_GB2312"/>
                <w:sz w:val="24"/>
                <w:szCs w:val="24"/>
              </w:rPr>
              <w:t>、</w:t>
            </w:r>
            <w:r>
              <w:rPr>
                <w:rFonts w:hint="eastAsia" w:ascii="Times New Roman" w:hAnsi="Times New Roman" w:eastAsia="仿宋_GB2312"/>
                <w:sz w:val="24"/>
                <w:szCs w:val="24"/>
              </w:rPr>
              <w:t>建设办</w:t>
            </w:r>
            <w:r>
              <w:rPr>
                <w:rFonts w:ascii="Times New Roman" w:hAnsi="Times New Roman" w:eastAsia="仿宋_GB2312"/>
                <w:sz w:val="24"/>
                <w:szCs w:val="24"/>
              </w:rPr>
              <w:t>、</w:t>
            </w:r>
            <w:r>
              <w:rPr>
                <w:rFonts w:hint="eastAsia" w:ascii="Times New Roman" w:hAnsi="Times New Roman" w:eastAsia="仿宋_GB2312"/>
                <w:sz w:val="24"/>
                <w:szCs w:val="24"/>
              </w:rPr>
              <w:t>经发办（动防）</w:t>
            </w:r>
            <w:r>
              <w:rPr>
                <w:rFonts w:ascii="Times New Roman" w:hAnsi="Times New Roman" w:eastAsia="仿宋_GB2312"/>
                <w:sz w:val="24"/>
                <w:szCs w:val="24"/>
              </w:rPr>
              <w:t>、</w:t>
            </w:r>
            <w:r>
              <w:rPr>
                <w:rFonts w:hint="eastAsia" w:ascii="Times New Roman" w:hAnsi="Times New Roman" w:eastAsia="仿宋_GB2312"/>
                <w:sz w:val="24"/>
                <w:szCs w:val="24"/>
              </w:rPr>
              <w:t>经发办（服务业）</w:t>
            </w:r>
            <w:r>
              <w:rPr>
                <w:rFonts w:ascii="Times New Roman" w:hAnsi="Times New Roman" w:eastAsia="仿宋_GB2312"/>
                <w:sz w:val="24"/>
                <w:szCs w:val="24"/>
              </w:rPr>
              <w:t>等部门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hint="eastAsia" w:ascii="Times New Roman" w:hAnsi="Times New Roman" w:eastAsia="仿宋_GB2312"/>
                <w:sz w:val="24"/>
                <w:szCs w:val="24"/>
              </w:rPr>
              <w:t>2</w:t>
            </w:r>
            <w:r>
              <w:rPr>
                <w:rFonts w:hint="eastAsia" w:ascii="Times New Roman" w:hAnsi="Times New Roman" w:eastAsia="仿宋_GB2312"/>
                <w:sz w:val="24"/>
                <w:szCs w:val="24"/>
                <w:lang w:val="en-US" w:eastAsia="zh-CN"/>
              </w:rPr>
              <w:t>7</w:t>
            </w:r>
            <w:r>
              <w:rPr>
                <w:rFonts w:ascii="Times New Roman" w:hAnsi="Times New Roman" w:eastAsia="仿宋_GB2312"/>
                <w:sz w:val="24"/>
                <w:szCs w:val="24"/>
              </w:rPr>
              <w:t>对新建、改建、扩建、维修等项目报备、现场管理，以及冷库在建、使用、维修、报废拆除等单位和环节的液氨使用、消防设施，以及动火作业和火灾防范、逃生通道等，纳入网格巡查范围，纳入执法计划，常态化开展执法检查，加强问题隐患排查，督促整改规范。</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每月开展，贯穿专项行动全过程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hint="eastAsia" w:ascii="Times New Roman" w:hAnsi="Times New Roman" w:eastAsia="仿宋_GB2312"/>
                <w:sz w:val="24"/>
                <w:szCs w:val="24"/>
              </w:rPr>
              <w:t>综合执法办（安监）</w:t>
            </w:r>
            <w:r>
              <w:rPr>
                <w:rFonts w:ascii="Times New Roman" w:hAnsi="Times New Roman" w:eastAsia="仿宋_GB2312"/>
                <w:sz w:val="24"/>
                <w:szCs w:val="24"/>
              </w:rPr>
              <w:t>、</w:t>
            </w:r>
            <w:r>
              <w:rPr>
                <w:rFonts w:hint="eastAsia" w:ascii="Times New Roman" w:hAnsi="Times New Roman" w:eastAsia="仿宋_GB2312"/>
                <w:sz w:val="24"/>
                <w:szCs w:val="24"/>
              </w:rPr>
              <w:t>建设办</w:t>
            </w:r>
            <w:r>
              <w:rPr>
                <w:rFonts w:ascii="Times New Roman" w:hAnsi="Times New Roman" w:eastAsia="仿宋_GB2312"/>
                <w:sz w:val="24"/>
                <w:szCs w:val="24"/>
              </w:rPr>
              <w:t>、</w:t>
            </w:r>
            <w:r>
              <w:rPr>
                <w:rFonts w:hint="eastAsia" w:ascii="Times New Roman" w:hAnsi="Times New Roman" w:eastAsia="仿宋_GB2312"/>
                <w:sz w:val="24"/>
                <w:szCs w:val="24"/>
              </w:rPr>
              <w:t>经发办（动防）</w:t>
            </w:r>
            <w:r>
              <w:rPr>
                <w:rFonts w:ascii="Times New Roman" w:hAnsi="Times New Roman" w:eastAsia="仿宋_GB2312"/>
                <w:sz w:val="24"/>
                <w:szCs w:val="24"/>
              </w:rPr>
              <w:t>、</w:t>
            </w:r>
            <w:r>
              <w:rPr>
                <w:rFonts w:hint="eastAsia" w:ascii="Times New Roman" w:hAnsi="Times New Roman" w:eastAsia="仿宋_GB2312"/>
                <w:sz w:val="24"/>
                <w:szCs w:val="24"/>
              </w:rPr>
              <w:t>经发办（服务业）</w:t>
            </w:r>
            <w:r>
              <w:rPr>
                <w:rFonts w:ascii="Times New Roman" w:hAnsi="Times New Roman" w:eastAsia="仿宋_GB2312"/>
                <w:sz w:val="24"/>
                <w:szCs w:val="24"/>
              </w:rPr>
              <w:t>等部门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14246" w:type="dxa"/>
            <w:gridSpan w:val="3"/>
            <w:noWrap w:val="0"/>
            <w:vAlign w:val="center"/>
          </w:tcPr>
          <w:p>
            <w:pPr>
              <w:spacing w:line="400" w:lineRule="exact"/>
              <w:jc w:val="left"/>
              <w:rPr>
                <w:rFonts w:ascii="Times New Roman" w:hAnsi="Times New Roman" w:eastAsia="仿宋_GB2312"/>
                <w:sz w:val="24"/>
                <w:szCs w:val="24"/>
              </w:rPr>
            </w:pPr>
            <w:r>
              <w:rPr>
                <w:rFonts w:hint="eastAsia" w:ascii="Times New Roman" w:hAnsi="Times New Roman" w:eastAsia="仿宋_GB2312"/>
                <w:b/>
                <w:bCs/>
                <w:sz w:val="24"/>
                <w:szCs w:val="24"/>
                <w:lang w:val="en-US" w:eastAsia="zh-CN"/>
              </w:rPr>
              <w:t>八</w:t>
            </w:r>
            <w:r>
              <w:rPr>
                <w:rFonts w:ascii="Times New Roman" w:hAnsi="Times New Roman" w:eastAsia="仿宋_GB2312"/>
                <w:b/>
                <w:bCs/>
                <w:sz w:val="24"/>
                <w:szCs w:val="24"/>
              </w:rPr>
              <w:t>、其他方面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7" w:hRule="atLeast"/>
          <w:jc w:val="center"/>
        </w:trPr>
        <w:tc>
          <w:tcPr>
            <w:tcW w:w="7417" w:type="dxa"/>
            <w:noWrap w:val="0"/>
            <w:vAlign w:val="center"/>
          </w:tcPr>
          <w:p>
            <w:pPr>
              <w:spacing w:line="400" w:lineRule="exact"/>
              <w:rPr>
                <w:rFonts w:ascii="Times New Roman" w:hAnsi="Times New Roman" w:eastAsia="仿宋_GB2312"/>
                <w:sz w:val="24"/>
                <w:szCs w:val="24"/>
              </w:rPr>
            </w:pPr>
            <w:r>
              <w:rPr>
                <w:rFonts w:hint="eastAsia" w:ascii="Times New Roman" w:hAnsi="Times New Roman" w:eastAsia="仿宋_GB2312"/>
                <w:sz w:val="24"/>
                <w:szCs w:val="24"/>
                <w:lang w:val="en-US" w:eastAsia="zh-CN"/>
              </w:rPr>
              <w:t>28</w:t>
            </w:r>
            <w:r>
              <w:rPr>
                <w:rFonts w:ascii="Times New Roman" w:hAnsi="Times New Roman" w:eastAsia="仿宋_GB2312"/>
                <w:sz w:val="24"/>
                <w:szCs w:val="24"/>
              </w:rPr>
              <w:t>.民政服务、特种设备、医疗卫生、教育、油气长输管道、邮政寄递、加油站和商场市场等行业领域主管部门结合行业实际，组织实施专项隐患排查整治，落实风险管控针对性措施。</w:t>
            </w:r>
          </w:p>
        </w:tc>
        <w:tc>
          <w:tcPr>
            <w:tcW w:w="3096"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每月开展，贯穿专项行动全过程</w:t>
            </w:r>
          </w:p>
        </w:tc>
        <w:tc>
          <w:tcPr>
            <w:tcW w:w="3733" w:type="dxa"/>
            <w:noWrap w:val="0"/>
            <w:vAlign w:val="center"/>
          </w:tcPr>
          <w:p>
            <w:pPr>
              <w:spacing w:line="400" w:lineRule="exact"/>
              <w:jc w:val="center"/>
              <w:rPr>
                <w:rFonts w:ascii="Times New Roman" w:hAnsi="Times New Roman" w:eastAsia="仿宋_GB2312"/>
                <w:sz w:val="24"/>
                <w:szCs w:val="24"/>
              </w:rPr>
            </w:pPr>
            <w:r>
              <w:rPr>
                <w:rFonts w:ascii="Times New Roman" w:hAnsi="Times New Roman" w:eastAsia="仿宋_GB2312"/>
                <w:sz w:val="24"/>
                <w:szCs w:val="24"/>
              </w:rPr>
              <w:t>各相关部门</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3OTIwOTQ4ZjgwYzMyNTVmM2U2M2MzOWZmODQxODQifQ=="/>
  </w:docVars>
  <w:rsids>
    <w:rsidRoot w:val="00000000"/>
    <w:rsid w:val="161055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2024-12-24T02:54:05Z</dcterms:created>
  <dc:creator>HP</dc:creator>
  <cp:lastModifiedBy>如果。</cp:lastModifiedBy>
  <dcterms:modified xsi:type="dcterms:W3CDTF">2024-12-24T02:54:43Z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C7ECA89BD5384EEDBAB8669149FEB8D0</vt:lpwstr>
  </property>
</Properties>
</file>