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89A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</w:t>
      </w:r>
    </w:p>
    <w:p w14:paraId="5492FD9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</w:p>
    <w:p w14:paraId="6E5073D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太仓司法行政系统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“法护平安”</w:t>
      </w:r>
    </w:p>
    <w:p w14:paraId="0834535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农民工法律服务专项行动方案</w:t>
      </w:r>
    </w:p>
    <w:bookmarkEnd w:id="0"/>
    <w:p w14:paraId="5EFE1F7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</w:pPr>
    </w:p>
    <w:p w14:paraId="431B0E2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为贯彻落实《保障农民工工资支付条例》相关要求，结合苏州市政府《2025 年全市治理欠薪冬季行动实施方案》（苏府办〔2025〕129 号）通知精神，太仓司法行政系统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决定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集中开展“法护平安”农民工法律服务专项行动，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保障农民工合法权益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。具体方案如下：</w:t>
      </w:r>
    </w:p>
    <w:p w14:paraId="6D472B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一、总体要求</w:t>
      </w:r>
    </w:p>
    <w:p w14:paraId="4961CC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（一）指导思想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以习近平新时代中国特色社会主义思想为指导，深入践行习近平法治思想，坚持以人民为中心的发展思想，贯彻落实党中央、国务院关于农民工服务保障的决策部署，聚焦农民工急难愁盼的合法权益问题，构建精准高效的法律服务体系，切实维护农民工权益与社会和谐稳定。</w:t>
      </w:r>
    </w:p>
    <w:p w14:paraId="229289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（二）核心原则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坚持依法维权与公正服务相统一，严格依据法律法规开展援助工作；遵循普惠均等与重点保障相结合，覆盖全体农民工并向高危行业、弱势群体倾斜；秉持便捷高效与协同联动相衔接，简化流程、跨部门协作形成维权合力；坚守实事求是与注重实效相呼应，杜绝形式主义，确保措施落地见效。</w:t>
      </w:r>
    </w:p>
    <w:p w14:paraId="3683123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二、活动内容</w:t>
      </w:r>
    </w:p>
    <w:p w14:paraId="2B2005F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“法护平安”行动从202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年1月份开始，到202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月底结束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重点开展以下工作： </w:t>
      </w:r>
    </w:p>
    <w:p w14:paraId="32BBB3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（一）开展“法治护航·暖心同行”普法宣传行动。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针对春节前后讨薪高峰，紧密结合农民工生产生活特点，开展线下精准宣讲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律师、法律工作者深入建筑工地、产业园区、农民工集中居住社区，开展“送法进工地”“法治进社区”活动，重点讲解劳动合同签订、工资支付、工伤认定、社保缴纳等核心法律知识。充分发挥新媒体普法矩阵传播优势，开展线上便捷学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以“法治强市 光辉太仓”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微信公众号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为主体，同步联动互联网公共法律服务平台，同频链接全市普法新媒体矩阵，开展农民工维权法治宣传。</w:t>
      </w:r>
    </w:p>
    <w:p w14:paraId="0B188A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（二）实施“维权无忧·绿色通道”援助服务行动。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全市各法律援助工作站，实行“优先受理、优先审查、优先指派”，简化申请程序，降低门槛，确保农民工在遇到工资拖欠、工伤赔偿等问题时能够及时获得专业法律援助。对行动不便的农民工提供上门服务或远程视频援助。对于10人以上群体性欠薪或者事态紧急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加强部门沟通协作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当天安排援助律师提供上门服务。依托劳动争议调解委员会、行业调解组织，建立农民工纠纷快速调解通道，邀请工会、人社部门工作人员参与调解，推动纠纷就地化解。引导农民工运用法律武器依法理性维权，让他们感受到法治的温暖与关怀。</w:t>
      </w:r>
    </w:p>
    <w:p w14:paraId="12011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（三）开展“清源固薪·精准排查”专项治理行动。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法律服务机构要加强欠薪讨薪监测预警，充分排查所内已办、在办案件，分析研判劳动人事领域当前欠薪讨薪形势特点，对涉及欠薪欠款、劳资纠纷的案件线索及时登记报备，落实集体讨论机制，确保发现在早、处置在小。加强与劳动监察部门的协作，持续打击人力资源服务、劳务派遣等领域违法违规行为，强化证据收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相关线索应移尽移。严格监督各单位落实《保障农民工工资支付条例》相关制度情况。加强恶意欠薪、非法讨薪典型案件宣讲，引导企业经营者增强依法用工、按时足额支付工资的法律意识，引导维权群体依法理性维权。</w:t>
      </w:r>
    </w:p>
    <w:p w14:paraId="2307DC5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三、工作要求</w:t>
      </w:r>
    </w:p>
    <w:p w14:paraId="0D22F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zh-CN" w:eastAsia="zh-CN" w:bidi="ar-SA"/>
        </w:rPr>
        <w:t>（一）加强组织领导，压实工作责任。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保障农民工合法权益是维护社会公平正义、促进基层社会治理稳定的基石。各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地各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部门务必从全局高度出发，深刻领会本次专项行动的战略意义，将其列为开年首季的重点攻坚任务，确保思想上重视、行动上迅速。要紧扣“维权落地、服务暖心”的核心宗旨，结合辖区实际情况，创新工作载体，制定详实的执行细则。同时，建立高效的信息互通机制，定期梳理并报送行动动态，通过经验交流与问题剖析，互学互鉴，精准施策，切实提升法律服务供给的靶向性与实效性。</w:t>
      </w:r>
    </w:p>
    <w:p w14:paraId="3DAFA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zh-CN" w:eastAsia="zh-CN" w:bidi="ar-SA"/>
        </w:rPr>
        <w:t xml:space="preserve"> （二）狠抓贯彻执行，拓宽服务维度。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  <w:t>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地各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  <w:t>部门要立足本职职能，坚持守正创新，积极探索便民利民的服务新模式。构建立体化宣传矩阵，综合利用各类媒介平台，广覆盖、深层次地解读专项行动的服务内容与获取渠道，打破信息壁垒，实现法律服务资源与农民工实际需求的无缝对接。充分激活司法行政类社会组织的活力，广泛动员社会各界力量参与其中，因地制宜开展形式多样的法治宣讲与公益咨询活动，有效整合社会资源，延伸服务触角，形成全社会共同关爱、依法维护农民工权益的生动局面。</w:t>
      </w:r>
    </w:p>
    <w:p w14:paraId="0B833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zh-CN" w:eastAsia="zh-CN" w:bidi="ar-SA"/>
        </w:rPr>
        <w:t>（三）注重总结提升，严肃督导落实。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  <w:t>要高度重视行动成果的转化与宣传工作，精心策划宣传方案，融合运用传统媒体与新媒体优势，全方位展现“法护平安”行动的创新亮点与惠民成效，树立司法行政机关亲民、为民的良好形象。要深入挖掘先进典型案例，将实践中形成的好经验、好做法及时上升为常态化工作机制，推动服务水平持续进阶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  <w:t>镇（街道）司法所活动总结由人民参与和促进法治科负责收集汇总；各法律服务机构活动情况由公共法律服务管理科负责收集汇总；普法和依法治理科、市法律援助中心、市公证处活动信息由各自汇总。相关活动信息在活动开展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2天内上报，活动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zh-CN" w:eastAsia="zh-CN" w:bidi="ar-SA"/>
        </w:rPr>
        <w:t>情况总结于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2026年3月23日前报法服科汇总。</w:t>
      </w:r>
    </w:p>
    <w:p w14:paraId="75F19603"/>
    <w:sectPr>
      <w:headerReference r:id="rId3" w:type="default"/>
      <w:footerReference r:id="rId4" w:type="default"/>
      <w:pgSz w:w="11906" w:h="16838"/>
      <w:pgMar w:top="2098" w:right="1474" w:bottom="1984" w:left="1474" w:header="851" w:footer="1531" w:gutter="113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3EDAF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DE3924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DE3924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A5D9A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13AA8"/>
    <w:rsid w:val="6281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2026-05-08T08:56:00Z</dcterms:created>
  <dc:creator>任小敬</dc:creator>
  <cp:lastModifiedBy>任小敬</cp:lastModifiedBy>
  <dcterms:modified xsi:type="dcterms:W3CDTF">2026-05-08T08:57:23Z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D92F28C8422D4A93BDC52575D1A8A77B_11</vt:lpwstr>
  </property>
  <property fmtid="{D5CDD505-2E9C-101B-9397-08002B2CF9AE}" pid="4" name="KSOTemplateDocerSaveRecord">
    <vt:lpwstr>eyJoZGlkIjoiNjMwNDAxMjcyYWE5NjY4Y2RkNmJmYmI5ZjI1NmEwNGUiLCJ1c2VySWQiOiI0NzMxNTQ1OTQifQ==</vt:lpwstr>
  </property>
</Properties>
</file>